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DEF" w:rsidRDefault="003F7DEF" w:rsidP="003F7DEF">
      <w:pPr>
        <w:pStyle w:val="Heading1"/>
        <w:numPr>
          <w:ilvl w:val="0"/>
          <w:numId w:val="0"/>
        </w:numPr>
        <w:pBdr>
          <w:bottom w:val="single" w:sz="12" w:space="12" w:color="auto"/>
        </w:pBdr>
        <w:spacing w:after="120" w:line="240" w:lineRule="auto"/>
        <w:rPr>
          <w:rFonts w:eastAsiaTheme="minorHAnsi"/>
        </w:rPr>
      </w:pPr>
      <w:bookmarkStart w:id="0" w:name="_Ref307582369"/>
      <w:r>
        <w:rPr>
          <w:rFonts w:eastAsiaTheme="minorHAnsi"/>
        </w:rPr>
        <w:t>Appendix A-6</w:t>
      </w:r>
      <w:bookmarkEnd w:id="0"/>
    </w:p>
    <w:p w:rsidR="003F7DEF" w:rsidRDefault="003F7DEF" w:rsidP="003F7DEF">
      <w:pPr>
        <w:pStyle w:val="Heading1"/>
        <w:numPr>
          <w:ilvl w:val="0"/>
          <w:numId w:val="0"/>
        </w:numPr>
        <w:pBdr>
          <w:bottom w:val="single" w:sz="12" w:space="12" w:color="auto"/>
        </w:pBdr>
        <w:spacing w:after="0" w:line="240" w:lineRule="auto"/>
        <w:rPr>
          <w:rFonts w:eastAsiaTheme="minorHAnsi"/>
        </w:rPr>
      </w:pPr>
      <w:r>
        <w:rPr>
          <w:rFonts w:eastAsiaTheme="minorHAnsi"/>
        </w:rPr>
        <w:t>Residential &amp; Non-Residential Water Heating</w:t>
      </w:r>
    </w:p>
    <w:p w:rsidR="00016737" w:rsidRPr="005E7D5C" w:rsidRDefault="003F7DEF" w:rsidP="003F7DEF">
      <w:pPr>
        <w:pStyle w:val="Caption"/>
        <w:rPr>
          <w:rFonts w:eastAsiaTheme="minorHAnsi"/>
        </w:rPr>
      </w:pPr>
      <w:r>
        <w:t>Table A-6-</w:t>
      </w:r>
      <w:fldSimple w:instr=" SEQ Table \* ARABIC ">
        <w:r>
          <w:rPr>
            <w:noProof/>
          </w:rPr>
          <w:t>1</w:t>
        </w:r>
      </w:fldSimple>
      <w:r>
        <w:t>:</w:t>
      </w:r>
      <w:r w:rsidR="00016737">
        <w:rPr>
          <w:rFonts w:eastAsiaTheme="minorHAnsi"/>
        </w:rPr>
        <w:t xml:space="preserve"> </w:t>
      </w:r>
      <w:r w:rsidR="009C00A1">
        <w:rPr>
          <w:rFonts w:eastAsiaTheme="minorHAnsi"/>
        </w:rPr>
        <w:t>O</w:t>
      </w:r>
      <w:r w:rsidR="00016737">
        <w:rPr>
          <w:rFonts w:eastAsiaTheme="minorHAnsi"/>
        </w:rPr>
        <w:t>verview of Methods, Data Sources, and NTGR Results by Measure</w:t>
      </w:r>
    </w:p>
    <w:tbl>
      <w:tblPr>
        <w:tblStyle w:val="TableProfessional"/>
        <w:tblW w:w="134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471"/>
        <w:gridCol w:w="1544"/>
        <w:gridCol w:w="1284"/>
        <w:gridCol w:w="2060"/>
        <w:gridCol w:w="1885"/>
        <w:gridCol w:w="2122"/>
        <w:gridCol w:w="3062"/>
      </w:tblGrid>
      <w:tr w:rsidR="00016737" w:rsidRPr="009C00A1" w:rsidTr="003F7DEF">
        <w:trPr>
          <w:cnfStyle w:val="100000000000"/>
          <w:trHeight w:val="206"/>
          <w:tblHeader/>
        </w:trPr>
        <w:tc>
          <w:tcPr>
            <w:tcW w:w="5000" w:type="pct"/>
            <w:gridSpan w:val="7"/>
            <w:tcBorders>
              <w:bottom w:val="single" w:sz="6" w:space="0" w:color="auto"/>
            </w:tcBorders>
            <w:shd w:val="solid" w:color="D9D9D9" w:themeColor="background1" w:themeShade="D9" w:fill="D9D9D9" w:themeFill="background1" w:themeFillShade="D9"/>
            <w:vAlign w:val="bottom"/>
          </w:tcPr>
          <w:p w:rsidR="00016737" w:rsidRPr="009C00A1" w:rsidRDefault="00016737" w:rsidP="009C00A1">
            <w:pPr>
              <w:keepNext/>
              <w:keepLines/>
              <w:spacing w:before="40" w:after="40" w:line="240" w:lineRule="auto"/>
              <w:jc w:val="center"/>
              <w:rPr>
                <w:sz w:val="16"/>
                <w:szCs w:val="16"/>
              </w:rPr>
            </w:pPr>
            <w:r w:rsidRPr="009C00A1">
              <w:rPr>
                <w:sz w:val="16"/>
                <w:szCs w:val="16"/>
              </w:rPr>
              <w:t>DEER Updates Technology Group 3 – Residential and Commercial Water Heating</w:t>
            </w:r>
          </w:p>
        </w:tc>
      </w:tr>
      <w:tr w:rsidR="003F7DEF" w:rsidRPr="009C00A1" w:rsidTr="003F7DEF">
        <w:trPr>
          <w:cnfStyle w:val="100000000000"/>
          <w:trHeight w:val="206"/>
          <w:tblHeader/>
        </w:trPr>
        <w:tc>
          <w:tcPr>
            <w:tcW w:w="548" w:type="pct"/>
            <w:tcBorders>
              <w:top w:val="single" w:sz="6" w:space="0" w:color="auto"/>
              <w:bottom w:val="single" w:sz="12" w:space="0" w:color="auto"/>
            </w:tcBorders>
            <w:shd w:val="solid" w:color="D9D9D9" w:themeColor="background1" w:themeShade="D9" w:fill="D9D9D9" w:themeFill="background1" w:themeFillShade="D9"/>
            <w:vAlign w:val="bottom"/>
          </w:tcPr>
          <w:p w:rsidR="00016737" w:rsidRPr="009C00A1" w:rsidRDefault="00016737" w:rsidP="009C00A1">
            <w:pPr>
              <w:keepNext/>
              <w:keepLines/>
              <w:spacing w:before="40" w:after="40" w:line="240" w:lineRule="auto"/>
              <w:jc w:val="left"/>
              <w:rPr>
                <w:sz w:val="16"/>
                <w:szCs w:val="16"/>
              </w:rPr>
            </w:pPr>
            <w:r w:rsidRPr="009C00A1">
              <w:rPr>
                <w:sz w:val="16"/>
                <w:szCs w:val="16"/>
              </w:rPr>
              <w:t>EEM Categories</w:t>
            </w:r>
          </w:p>
        </w:tc>
        <w:tc>
          <w:tcPr>
            <w:tcW w:w="575" w:type="pct"/>
            <w:tcBorders>
              <w:top w:val="single" w:sz="6" w:space="0" w:color="auto"/>
              <w:bottom w:val="single" w:sz="12" w:space="0" w:color="auto"/>
            </w:tcBorders>
            <w:shd w:val="solid" w:color="D9D9D9" w:themeColor="background1" w:themeShade="D9" w:fill="D9D9D9" w:themeFill="background1" w:themeFillShade="D9"/>
            <w:vAlign w:val="bottom"/>
          </w:tcPr>
          <w:p w:rsidR="00016737" w:rsidRPr="009C00A1" w:rsidRDefault="00016737" w:rsidP="009C00A1">
            <w:pPr>
              <w:keepNext/>
              <w:keepLines/>
              <w:spacing w:before="40" w:after="40" w:line="240" w:lineRule="auto"/>
              <w:jc w:val="center"/>
              <w:rPr>
                <w:sz w:val="16"/>
                <w:szCs w:val="16"/>
              </w:rPr>
            </w:pPr>
            <w:r w:rsidRPr="009C00A1">
              <w:rPr>
                <w:sz w:val="16"/>
                <w:szCs w:val="16"/>
              </w:rPr>
              <w:t>Current NTGRs</w:t>
            </w:r>
          </w:p>
        </w:tc>
        <w:tc>
          <w:tcPr>
            <w:tcW w:w="478" w:type="pct"/>
            <w:tcBorders>
              <w:top w:val="single" w:sz="6" w:space="0" w:color="auto"/>
              <w:bottom w:val="single" w:sz="12" w:space="0" w:color="auto"/>
            </w:tcBorders>
            <w:shd w:val="solid" w:color="D9D9D9" w:themeColor="background1" w:themeShade="D9" w:fill="D9D9D9" w:themeFill="background1" w:themeFillShade="D9"/>
            <w:vAlign w:val="bottom"/>
          </w:tcPr>
          <w:p w:rsidR="00016737" w:rsidRPr="009C00A1" w:rsidRDefault="00016737" w:rsidP="009C00A1">
            <w:pPr>
              <w:keepNext/>
              <w:keepLines/>
              <w:spacing w:before="40" w:after="40" w:line="240" w:lineRule="auto"/>
              <w:jc w:val="center"/>
              <w:rPr>
                <w:sz w:val="16"/>
                <w:szCs w:val="16"/>
              </w:rPr>
            </w:pPr>
            <w:r w:rsidRPr="009C00A1">
              <w:rPr>
                <w:sz w:val="16"/>
                <w:szCs w:val="16"/>
              </w:rPr>
              <w:t>Program Delivery Approach</w:t>
            </w:r>
          </w:p>
        </w:tc>
        <w:tc>
          <w:tcPr>
            <w:tcW w:w="767" w:type="pct"/>
            <w:tcBorders>
              <w:top w:val="single" w:sz="6" w:space="0" w:color="auto"/>
              <w:bottom w:val="single" w:sz="12" w:space="0" w:color="auto"/>
            </w:tcBorders>
            <w:shd w:val="solid" w:color="D9D9D9" w:themeColor="background1" w:themeShade="D9" w:fill="D9D9D9" w:themeFill="background1" w:themeFillShade="D9"/>
            <w:vAlign w:val="bottom"/>
          </w:tcPr>
          <w:p w:rsidR="00016737" w:rsidRPr="009C00A1" w:rsidRDefault="00016737" w:rsidP="009C00A1">
            <w:pPr>
              <w:keepNext/>
              <w:keepLines/>
              <w:spacing w:before="40" w:after="40" w:line="240" w:lineRule="auto"/>
              <w:jc w:val="center"/>
              <w:rPr>
                <w:sz w:val="16"/>
                <w:szCs w:val="16"/>
              </w:rPr>
            </w:pPr>
            <w:r w:rsidRPr="009C00A1">
              <w:rPr>
                <w:sz w:val="16"/>
                <w:szCs w:val="16"/>
              </w:rPr>
              <w:t>Data Sources</w:t>
            </w:r>
          </w:p>
        </w:tc>
        <w:tc>
          <w:tcPr>
            <w:tcW w:w="702" w:type="pct"/>
            <w:tcBorders>
              <w:top w:val="single" w:sz="6" w:space="0" w:color="auto"/>
              <w:bottom w:val="single" w:sz="12" w:space="0" w:color="auto"/>
            </w:tcBorders>
            <w:shd w:val="solid" w:color="D9D9D9" w:themeColor="background1" w:themeShade="D9" w:fill="D9D9D9" w:themeFill="background1" w:themeFillShade="D9"/>
            <w:vAlign w:val="bottom"/>
          </w:tcPr>
          <w:p w:rsidR="00016737" w:rsidRPr="009C00A1" w:rsidRDefault="00016737" w:rsidP="009C00A1">
            <w:pPr>
              <w:keepNext/>
              <w:keepLines/>
              <w:spacing w:before="40" w:after="40" w:line="240" w:lineRule="auto"/>
              <w:jc w:val="center"/>
              <w:rPr>
                <w:sz w:val="16"/>
                <w:szCs w:val="16"/>
              </w:rPr>
            </w:pPr>
            <w:r w:rsidRPr="009C00A1">
              <w:rPr>
                <w:sz w:val="16"/>
                <w:szCs w:val="16"/>
              </w:rPr>
              <w:t>NTGRs from Data Sources</w:t>
            </w:r>
          </w:p>
        </w:tc>
        <w:tc>
          <w:tcPr>
            <w:tcW w:w="790" w:type="pct"/>
            <w:tcBorders>
              <w:top w:val="single" w:sz="6" w:space="0" w:color="auto"/>
              <w:bottom w:val="single" w:sz="12" w:space="0" w:color="auto"/>
            </w:tcBorders>
            <w:shd w:val="solid" w:color="D9D9D9" w:themeColor="background1" w:themeShade="D9" w:fill="D9D9D9" w:themeFill="background1" w:themeFillShade="D9"/>
            <w:vAlign w:val="bottom"/>
          </w:tcPr>
          <w:p w:rsidR="00016737" w:rsidRPr="009C00A1" w:rsidRDefault="00016737" w:rsidP="009C00A1">
            <w:pPr>
              <w:keepNext/>
              <w:keepLines/>
              <w:spacing w:before="40" w:after="40" w:line="240" w:lineRule="auto"/>
              <w:jc w:val="center"/>
              <w:rPr>
                <w:sz w:val="16"/>
                <w:szCs w:val="16"/>
              </w:rPr>
            </w:pPr>
            <w:r w:rsidRPr="009C00A1">
              <w:rPr>
                <w:sz w:val="16"/>
                <w:szCs w:val="16"/>
              </w:rPr>
              <w:t>Methods Used in Data Sources to Estimate the NTGR Values</w:t>
            </w:r>
          </w:p>
        </w:tc>
        <w:tc>
          <w:tcPr>
            <w:tcW w:w="1139" w:type="pct"/>
            <w:tcBorders>
              <w:top w:val="single" w:sz="6" w:space="0" w:color="auto"/>
              <w:bottom w:val="single" w:sz="12" w:space="0" w:color="auto"/>
            </w:tcBorders>
            <w:shd w:val="solid" w:color="D9D9D9" w:themeColor="background1" w:themeShade="D9" w:fill="D9D9D9" w:themeFill="background1" w:themeFillShade="D9"/>
            <w:vAlign w:val="bottom"/>
          </w:tcPr>
          <w:p w:rsidR="00016737" w:rsidRPr="009C00A1" w:rsidRDefault="00016737" w:rsidP="009C00A1">
            <w:pPr>
              <w:keepNext/>
              <w:keepLines/>
              <w:spacing w:before="40" w:after="40" w:line="240" w:lineRule="auto"/>
              <w:jc w:val="center"/>
              <w:rPr>
                <w:sz w:val="16"/>
                <w:szCs w:val="16"/>
              </w:rPr>
            </w:pPr>
            <w:r w:rsidRPr="009C00A1">
              <w:rPr>
                <w:sz w:val="16"/>
                <w:szCs w:val="16"/>
              </w:rPr>
              <w:t>Proposed Approaches to Estimate “Forward-Looking” NTGR Values</w:t>
            </w:r>
          </w:p>
        </w:tc>
      </w:tr>
      <w:tr w:rsidR="004A1ED5" w:rsidRPr="009C00A1" w:rsidTr="003F7DEF">
        <w:trPr>
          <w:trHeight w:val="322"/>
        </w:trPr>
        <w:tc>
          <w:tcPr>
            <w:tcW w:w="548" w:type="pct"/>
            <w:tcBorders>
              <w:top w:val="single" w:sz="12" w:space="0" w:color="auto"/>
            </w:tcBorders>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Residential Aerators</w:t>
            </w:r>
          </w:p>
        </w:tc>
        <w:tc>
          <w:tcPr>
            <w:tcW w:w="575" w:type="pct"/>
            <w:tcBorders>
              <w:top w:val="single" w:sz="12" w:space="0" w:color="auto"/>
            </w:tcBorders>
            <w:vAlign w:val="center"/>
          </w:tcPr>
          <w:p w:rsidR="00016737" w:rsidRPr="009C00A1" w:rsidRDefault="00016737" w:rsidP="009C00A1">
            <w:pPr>
              <w:keepNext/>
              <w:keepLines/>
              <w:spacing w:before="40" w:after="40" w:line="240" w:lineRule="auto"/>
              <w:jc w:val="left"/>
              <w:rPr>
                <w:sz w:val="16"/>
                <w:szCs w:val="16"/>
              </w:rPr>
            </w:pPr>
          </w:p>
        </w:tc>
        <w:tc>
          <w:tcPr>
            <w:tcW w:w="478" w:type="pct"/>
            <w:tcBorders>
              <w:top w:val="single" w:sz="12" w:space="0" w:color="auto"/>
            </w:tcBorders>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 xml:space="preserve">Direct Install </w:t>
            </w:r>
          </w:p>
        </w:tc>
        <w:tc>
          <w:tcPr>
            <w:tcW w:w="767" w:type="pct"/>
            <w:tcBorders>
              <w:top w:val="single" w:sz="12" w:space="0" w:color="auto"/>
            </w:tcBorders>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EM&amp;V of the CPUC Residential Retrofit High Impact Measure Evaluation Report and Appendices, February 8, 2010, The CADMUS Group [Ch. 9]</w:t>
            </w:r>
          </w:p>
        </w:tc>
        <w:tc>
          <w:tcPr>
            <w:tcW w:w="702" w:type="pct"/>
            <w:tcBorders>
              <w:top w:val="single" w:sz="12" w:space="0" w:color="auto"/>
            </w:tcBorders>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The study evaluated two SDG&amp;E programs.  The evaluation results varied among the IOU programs as followed:</w:t>
            </w:r>
          </w:p>
          <w:p w:rsidR="00016737" w:rsidRPr="009C00A1" w:rsidRDefault="00016737" w:rsidP="009C00A1">
            <w:pPr>
              <w:keepNext/>
              <w:keepLines/>
              <w:tabs>
                <w:tab w:val="left" w:pos="1332"/>
              </w:tabs>
              <w:spacing w:before="40" w:after="40" w:line="240" w:lineRule="auto"/>
              <w:jc w:val="left"/>
              <w:rPr>
                <w:sz w:val="16"/>
                <w:szCs w:val="16"/>
              </w:rPr>
            </w:pPr>
            <w:r w:rsidRPr="009C00A1">
              <w:rPr>
                <w:sz w:val="16"/>
                <w:szCs w:val="16"/>
              </w:rPr>
              <w:t>NTGR</w:t>
            </w:r>
          </w:p>
          <w:p w:rsidR="00016737" w:rsidRPr="009C00A1" w:rsidRDefault="00016737" w:rsidP="009C00A1">
            <w:pPr>
              <w:keepNext/>
              <w:keepLines/>
              <w:tabs>
                <w:tab w:val="decimal" w:pos="696"/>
                <w:tab w:val="left" w:pos="1332"/>
              </w:tabs>
              <w:spacing w:before="40" w:after="40" w:line="240" w:lineRule="auto"/>
              <w:jc w:val="left"/>
              <w:rPr>
                <w:sz w:val="16"/>
                <w:szCs w:val="16"/>
              </w:rPr>
            </w:pPr>
            <w:r w:rsidRPr="009C00A1">
              <w:rPr>
                <w:sz w:val="16"/>
                <w:szCs w:val="16"/>
              </w:rPr>
              <w:t>SDGE3017 (MH)</w:t>
            </w:r>
            <w:r w:rsidRPr="009C00A1">
              <w:rPr>
                <w:sz w:val="16"/>
                <w:szCs w:val="16"/>
              </w:rPr>
              <w:tab/>
              <w:t>0.59</w:t>
            </w:r>
          </w:p>
          <w:p w:rsidR="00016737" w:rsidRPr="009C00A1" w:rsidRDefault="00016737" w:rsidP="009C00A1">
            <w:pPr>
              <w:keepNext/>
              <w:keepLines/>
              <w:tabs>
                <w:tab w:val="left" w:pos="1151"/>
                <w:tab w:val="left" w:pos="1332"/>
              </w:tabs>
              <w:spacing w:before="40" w:after="40" w:line="240" w:lineRule="auto"/>
              <w:jc w:val="left"/>
              <w:rPr>
                <w:sz w:val="16"/>
                <w:szCs w:val="16"/>
              </w:rPr>
            </w:pPr>
            <w:r w:rsidRPr="009C00A1">
              <w:rPr>
                <w:sz w:val="16"/>
                <w:szCs w:val="16"/>
              </w:rPr>
              <w:t>SDG&amp;E3035 (SF)</w:t>
            </w:r>
            <w:r w:rsidRPr="009C00A1">
              <w:rPr>
                <w:sz w:val="16"/>
                <w:szCs w:val="16"/>
              </w:rPr>
              <w:tab/>
              <w:t>0.75</w:t>
            </w:r>
          </w:p>
        </w:tc>
        <w:tc>
          <w:tcPr>
            <w:tcW w:w="790" w:type="pct"/>
            <w:vMerge w:val="restart"/>
            <w:tcBorders>
              <w:top w:val="single" w:sz="12" w:space="0" w:color="auto"/>
            </w:tcBorders>
            <w:vAlign w:val="center"/>
          </w:tcPr>
          <w:p w:rsidR="00016737" w:rsidRPr="009C00A1" w:rsidRDefault="00016737" w:rsidP="009C00A1">
            <w:pPr>
              <w:keepNext/>
              <w:keepLines/>
              <w:tabs>
                <w:tab w:val="decimal" w:pos="-2271"/>
                <w:tab w:val="decimal" w:pos="-1281"/>
              </w:tabs>
              <w:spacing w:before="40" w:after="40" w:line="240" w:lineRule="auto"/>
              <w:jc w:val="left"/>
              <w:rPr>
                <w:sz w:val="16"/>
                <w:szCs w:val="16"/>
              </w:rPr>
            </w:pPr>
            <w:r w:rsidRPr="009C00A1">
              <w:rPr>
                <w:sz w:val="16"/>
                <w:szCs w:val="16"/>
              </w:rPr>
              <w:t>This evaluation determined NTG from participant self-report responses to a telephone survey. The instrument and algorithm used was the Joint Sample Self-Report NTG method. The study evaluated three programs for two IOUs.  The final report does not indicate what value was used in the IOU program plans for 2009-2011.  Evaluation results varied among the IOU Programs.</w:t>
            </w:r>
          </w:p>
        </w:tc>
        <w:tc>
          <w:tcPr>
            <w:tcW w:w="1139" w:type="pct"/>
            <w:vMerge w:val="restart"/>
            <w:tcBorders>
              <w:top w:val="single" w:sz="12" w:space="0" w:color="auto"/>
            </w:tcBorders>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There are no new evaluation studies and additional primary data sources published since 2010 that are readily available to inform the short term updates.  Data should be gathered on the market saturation of aerators in the latest RASS and new incremental cost information should be used to make an assessment of likely trends in NTGR in 2012.</w:t>
            </w:r>
          </w:p>
        </w:tc>
      </w:tr>
      <w:tr w:rsidR="00F20408" w:rsidRPr="009C00A1" w:rsidTr="003F7DEF">
        <w:trPr>
          <w:trHeight w:val="1335"/>
        </w:trPr>
        <w:tc>
          <w:tcPr>
            <w:tcW w:w="548"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Residential Showerheads</w:t>
            </w:r>
          </w:p>
        </w:tc>
        <w:tc>
          <w:tcPr>
            <w:tcW w:w="575"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DEER 0.85</w:t>
            </w:r>
          </w:p>
        </w:tc>
        <w:tc>
          <w:tcPr>
            <w:tcW w:w="478"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Direct Install</w:t>
            </w:r>
          </w:p>
        </w:tc>
        <w:tc>
          <w:tcPr>
            <w:tcW w:w="767"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EM&amp;V of the CPUC Residential Retrofit High Impact Measure Evaluation Report and Appendices, February 8, 2010, The CADMUS Group [Ch. 9]</w:t>
            </w:r>
          </w:p>
        </w:tc>
        <w:tc>
          <w:tcPr>
            <w:tcW w:w="702"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Results were the same when Weighted by Year and Therms</w:t>
            </w:r>
          </w:p>
          <w:p w:rsidR="00016737" w:rsidRPr="009C00A1" w:rsidRDefault="00016737" w:rsidP="009C00A1">
            <w:pPr>
              <w:keepNext/>
              <w:keepLines/>
              <w:tabs>
                <w:tab w:val="left" w:pos="1344"/>
              </w:tabs>
              <w:spacing w:before="40" w:after="40" w:line="240" w:lineRule="auto"/>
              <w:jc w:val="left"/>
              <w:rPr>
                <w:sz w:val="16"/>
                <w:szCs w:val="16"/>
              </w:rPr>
            </w:pPr>
            <w:r w:rsidRPr="009C00A1">
              <w:rPr>
                <w:sz w:val="16"/>
                <w:szCs w:val="16"/>
              </w:rPr>
              <w:t>NTGR</w:t>
            </w:r>
          </w:p>
          <w:p w:rsidR="00016737" w:rsidRPr="009C00A1" w:rsidRDefault="00016737" w:rsidP="009C00A1">
            <w:pPr>
              <w:keepNext/>
              <w:keepLines/>
              <w:tabs>
                <w:tab w:val="decimal" w:pos="696"/>
                <w:tab w:val="left" w:pos="1344"/>
              </w:tabs>
              <w:spacing w:before="40" w:after="40" w:line="240" w:lineRule="auto"/>
              <w:jc w:val="left"/>
              <w:rPr>
                <w:sz w:val="16"/>
                <w:szCs w:val="16"/>
              </w:rPr>
            </w:pPr>
            <w:r w:rsidRPr="009C00A1">
              <w:rPr>
                <w:sz w:val="16"/>
                <w:szCs w:val="16"/>
              </w:rPr>
              <w:t>SCG3517 (MH)</w:t>
            </w:r>
            <w:r w:rsidRPr="009C00A1">
              <w:rPr>
                <w:sz w:val="16"/>
                <w:szCs w:val="16"/>
              </w:rPr>
              <w:tab/>
              <w:t>0.72</w:t>
            </w:r>
          </w:p>
          <w:p w:rsidR="00016737" w:rsidRPr="009C00A1" w:rsidRDefault="00016737" w:rsidP="009C00A1">
            <w:pPr>
              <w:keepNext/>
              <w:keepLines/>
              <w:tabs>
                <w:tab w:val="decimal" w:pos="696"/>
                <w:tab w:val="left" w:pos="1344"/>
              </w:tabs>
              <w:spacing w:before="40" w:after="40" w:line="240" w:lineRule="auto"/>
              <w:jc w:val="left"/>
              <w:rPr>
                <w:sz w:val="16"/>
                <w:szCs w:val="16"/>
              </w:rPr>
            </w:pPr>
            <w:r w:rsidRPr="009C00A1">
              <w:rPr>
                <w:sz w:val="16"/>
                <w:szCs w:val="16"/>
              </w:rPr>
              <w:t>SDGE3017 (MF)</w:t>
            </w:r>
            <w:r w:rsidRPr="009C00A1">
              <w:rPr>
                <w:sz w:val="16"/>
                <w:szCs w:val="16"/>
              </w:rPr>
              <w:tab/>
              <w:t>0.68</w:t>
            </w:r>
          </w:p>
          <w:p w:rsidR="00016737" w:rsidRPr="009C00A1" w:rsidRDefault="00016737" w:rsidP="009C00A1">
            <w:pPr>
              <w:keepNext/>
              <w:keepLines/>
              <w:tabs>
                <w:tab w:val="decimal" w:pos="141"/>
                <w:tab w:val="decimal" w:pos="703"/>
                <w:tab w:val="decimal" w:pos="1153"/>
                <w:tab w:val="left" w:pos="1344"/>
                <w:tab w:val="decimal" w:pos="1603"/>
              </w:tabs>
              <w:spacing w:before="40" w:after="40" w:line="240" w:lineRule="auto"/>
              <w:jc w:val="left"/>
              <w:rPr>
                <w:sz w:val="16"/>
                <w:szCs w:val="16"/>
              </w:rPr>
            </w:pPr>
            <w:r w:rsidRPr="009C00A1">
              <w:rPr>
                <w:sz w:val="16"/>
                <w:szCs w:val="16"/>
              </w:rPr>
              <w:t>SDG&amp;E3017 (SF)</w:t>
            </w:r>
            <w:r w:rsidRPr="009C00A1">
              <w:rPr>
                <w:sz w:val="16"/>
                <w:szCs w:val="16"/>
              </w:rPr>
              <w:tab/>
              <w:t>0.70</w:t>
            </w:r>
          </w:p>
        </w:tc>
        <w:tc>
          <w:tcPr>
            <w:tcW w:w="790" w:type="pct"/>
            <w:vMerge/>
            <w:vAlign w:val="center"/>
          </w:tcPr>
          <w:p w:rsidR="00016737" w:rsidRPr="009C00A1" w:rsidRDefault="00016737" w:rsidP="009C00A1">
            <w:pPr>
              <w:keepNext/>
              <w:keepLines/>
              <w:tabs>
                <w:tab w:val="decimal" w:pos="-2271"/>
                <w:tab w:val="decimal" w:pos="-1281"/>
              </w:tabs>
              <w:spacing w:before="40" w:after="40" w:line="240" w:lineRule="auto"/>
              <w:jc w:val="left"/>
              <w:rPr>
                <w:sz w:val="16"/>
                <w:szCs w:val="16"/>
              </w:rPr>
            </w:pPr>
          </w:p>
        </w:tc>
        <w:tc>
          <w:tcPr>
            <w:tcW w:w="1139" w:type="pct"/>
            <w:vMerge/>
            <w:vAlign w:val="center"/>
          </w:tcPr>
          <w:p w:rsidR="00016737" w:rsidRPr="009C00A1" w:rsidRDefault="00016737" w:rsidP="009C00A1">
            <w:pPr>
              <w:keepNext/>
              <w:keepLines/>
              <w:spacing w:before="40" w:after="40" w:line="240" w:lineRule="auto"/>
              <w:jc w:val="left"/>
              <w:rPr>
                <w:b/>
                <w:sz w:val="16"/>
                <w:szCs w:val="16"/>
              </w:rPr>
            </w:pPr>
          </w:p>
        </w:tc>
      </w:tr>
      <w:tr w:rsidR="00F20408" w:rsidRPr="009C00A1" w:rsidTr="003F7DEF">
        <w:trPr>
          <w:trHeight w:val="322"/>
        </w:trPr>
        <w:tc>
          <w:tcPr>
            <w:tcW w:w="548"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Residential Gas Storage /Instantaneous Water Heater</w:t>
            </w:r>
          </w:p>
        </w:tc>
        <w:tc>
          <w:tcPr>
            <w:tcW w:w="575"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DEER</w:t>
            </w:r>
          </w:p>
          <w:p w:rsidR="00016737" w:rsidRPr="009C00A1" w:rsidRDefault="00016737" w:rsidP="009C00A1">
            <w:pPr>
              <w:keepNext/>
              <w:keepLines/>
              <w:spacing w:before="40" w:after="40" w:line="240" w:lineRule="auto"/>
              <w:jc w:val="left"/>
              <w:rPr>
                <w:sz w:val="16"/>
                <w:szCs w:val="16"/>
              </w:rPr>
            </w:pPr>
            <w:r w:rsidRPr="009C00A1">
              <w:rPr>
                <w:sz w:val="16"/>
                <w:szCs w:val="16"/>
              </w:rPr>
              <w:t>WH gas EF&gt;0.62=0.58</w:t>
            </w:r>
          </w:p>
        </w:tc>
        <w:tc>
          <w:tcPr>
            <w:tcW w:w="478"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Downstream Prescriptive</w:t>
            </w:r>
          </w:p>
        </w:tc>
        <w:tc>
          <w:tcPr>
            <w:tcW w:w="767"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EM&amp;V of the CPUC Residential Retrofit High Impact Measure Evaluation Report and Appendices, February 8, 2010, The CADMUS Group [Ch. 8]</w:t>
            </w:r>
          </w:p>
        </w:tc>
        <w:tc>
          <w:tcPr>
            <w:tcW w:w="702" w:type="pct"/>
            <w:vAlign w:val="center"/>
          </w:tcPr>
          <w:p w:rsidR="00016737" w:rsidRPr="0046370A" w:rsidRDefault="00016737" w:rsidP="009C00A1">
            <w:pPr>
              <w:keepNext/>
              <w:keepLines/>
              <w:tabs>
                <w:tab w:val="left" w:pos="1244"/>
                <w:tab w:val="decimal" w:pos="1963"/>
              </w:tabs>
              <w:spacing w:before="40" w:after="40" w:line="240" w:lineRule="auto"/>
              <w:jc w:val="left"/>
              <w:rPr>
                <w:sz w:val="16"/>
                <w:szCs w:val="16"/>
              </w:rPr>
            </w:pPr>
            <w:r w:rsidRPr="0046370A">
              <w:rPr>
                <w:sz w:val="16"/>
                <w:szCs w:val="16"/>
              </w:rPr>
              <w:t>SCG3517 (2006)</w:t>
            </w:r>
            <w:r w:rsidRPr="0046370A">
              <w:rPr>
                <w:sz w:val="16"/>
                <w:szCs w:val="16"/>
              </w:rPr>
              <w:tab/>
              <w:t>0.25</w:t>
            </w:r>
          </w:p>
          <w:p w:rsidR="00016737" w:rsidRPr="009C00A1" w:rsidRDefault="00016737" w:rsidP="009C00A1">
            <w:pPr>
              <w:keepNext/>
              <w:keepLines/>
              <w:tabs>
                <w:tab w:val="left" w:pos="1244"/>
                <w:tab w:val="decimal" w:pos="1963"/>
              </w:tabs>
              <w:spacing w:before="40" w:after="40" w:line="240" w:lineRule="auto"/>
              <w:jc w:val="left"/>
              <w:rPr>
                <w:sz w:val="16"/>
                <w:szCs w:val="16"/>
              </w:rPr>
            </w:pPr>
            <w:r w:rsidRPr="0046370A">
              <w:rPr>
                <w:sz w:val="16"/>
                <w:szCs w:val="16"/>
              </w:rPr>
              <w:t>SCG3517 (2007)</w:t>
            </w:r>
            <w:r w:rsidRPr="0046370A">
              <w:rPr>
                <w:sz w:val="16"/>
                <w:szCs w:val="16"/>
              </w:rPr>
              <w:tab/>
              <w:t>0.30</w:t>
            </w:r>
          </w:p>
          <w:p w:rsidR="00016737" w:rsidRPr="009C00A1" w:rsidRDefault="00016737" w:rsidP="009C00A1">
            <w:pPr>
              <w:keepNext/>
              <w:keepLines/>
              <w:tabs>
                <w:tab w:val="left" w:pos="1244"/>
                <w:tab w:val="decimal" w:pos="1963"/>
              </w:tabs>
              <w:spacing w:before="40" w:after="40" w:line="240" w:lineRule="auto"/>
              <w:jc w:val="left"/>
              <w:rPr>
                <w:sz w:val="16"/>
                <w:szCs w:val="16"/>
              </w:rPr>
            </w:pPr>
            <w:r w:rsidRPr="009C00A1">
              <w:rPr>
                <w:sz w:val="16"/>
                <w:szCs w:val="16"/>
              </w:rPr>
              <w:t>PGE2000</w:t>
            </w:r>
            <w:r w:rsidRPr="009C00A1">
              <w:rPr>
                <w:sz w:val="16"/>
                <w:szCs w:val="16"/>
              </w:rPr>
              <w:tab/>
              <w:t>0.17</w:t>
            </w:r>
          </w:p>
          <w:p w:rsidR="00016737" w:rsidRPr="009C00A1" w:rsidRDefault="00016737" w:rsidP="009C00A1">
            <w:pPr>
              <w:keepNext/>
              <w:keepLines/>
              <w:tabs>
                <w:tab w:val="decimal" w:pos="0"/>
                <w:tab w:val="left" w:pos="1244"/>
                <w:tab w:val="decimal" w:pos="1963"/>
              </w:tabs>
              <w:spacing w:before="40" w:after="40" w:line="240" w:lineRule="auto"/>
              <w:jc w:val="left"/>
              <w:rPr>
                <w:sz w:val="16"/>
                <w:szCs w:val="16"/>
              </w:rPr>
            </w:pPr>
            <w:r w:rsidRPr="009C00A1">
              <w:rPr>
                <w:sz w:val="16"/>
                <w:szCs w:val="16"/>
              </w:rPr>
              <w:t xml:space="preserve">SDGE3024 </w:t>
            </w:r>
            <w:r w:rsidRPr="009C00A1">
              <w:rPr>
                <w:sz w:val="16"/>
                <w:szCs w:val="16"/>
              </w:rPr>
              <w:tab/>
              <w:t>0.22</w:t>
            </w:r>
          </w:p>
        </w:tc>
        <w:tc>
          <w:tcPr>
            <w:tcW w:w="790"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Evaluation determined NTG through the Joint Sample Self-Report NTG method. The evaluation relied on telephone surveys to determine NTGR – weighted by year and Therms; No 2008 data for SCG</w:t>
            </w:r>
          </w:p>
        </w:tc>
        <w:tc>
          <w:tcPr>
            <w:tcW w:w="1139"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 xml:space="preserve">Note: The evaluation found a high percentage of free-riders for high-efficiency gas water heaters and conducted a search for market share data to provide additional context for the current - but was unable to acquire secondary market share data for high-efficiency hot water heaters. 2012 evaluators and or Energy Star program should be asked to provide this data for the 2012 update. </w:t>
            </w:r>
          </w:p>
        </w:tc>
      </w:tr>
      <w:tr w:rsidR="004A1ED5" w:rsidRPr="009C00A1" w:rsidTr="003F7DEF">
        <w:trPr>
          <w:trHeight w:val="322"/>
        </w:trPr>
        <w:tc>
          <w:tcPr>
            <w:tcW w:w="548"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Residential Electric Storage /Instantaneous Water Heater</w:t>
            </w:r>
          </w:p>
        </w:tc>
        <w:tc>
          <w:tcPr>
            <w:tcW w:w="575"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 xml:space="preserve"> .58</w:t>
            </w:r>
          </w:p>
        </w:tc>
        <w:tc>
          <w:tcPr>
            <w:tcW w:w="478"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Downstream Prescriptive</w:t>
            </w:r>
          </w:p>
        </w:tc>
        <w:tc>
          <w:tcPr>
            <w:tcW w:w="767"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 xml:space="preserve"> </w:t>
            </w:r>
          </w:p>
        </w:tc>
        <w:tc>
          <w:tcPr>
            <w:tcW w:w="702" w:type="pct"/>
            <w:vAlign w:val="center"/>
          </w:tcPr>
          <w:p w:rsidR="00016737" w:rsidRPr="009C00A1" w:rsidRDefault="00016737" w:rsidP="009C00A1">
            <w:pPr>
              <w:keepNext/>
              <w:keepLines/>
              <w:spacing w:before="40" w:after="40" w:line="240" w:lineRule="auto"/>
              <w:jc w:val="left"/>
              <w:rPr>
                <w:sz w:val="16"/>
                <w:szCs w:val="16"/>
              </w:rPr>
            </w:pPr>
          </w:p>
        </w:tc>
        <w:tc>
          <w:tcPr>
            <w:tcW w:w="790" w:type="pct"/>
            <w:vAlign w:val="center"/>
          </w:tcPr>
          <w:p w:rsidR="00016737" w:rsidRPr="009C00A1" w:rsidRDefault="00016737" w:rsidP="009C00A1">
            <w:pPr>
              <w:keepNext/>
              <w:keepLines/>
              <w:spacing w:before="40" w:after="40" w:line="240" w:lineRule="auto"/>
              <w:jc w:val="left"/>
              <w:rPr>
                <w:sz w:val="16"/>
                <w:szCs w:val="16"/>
              </w:rPr>
            </w:pPr>
          </w:p>
        </w:tc>
        <w:tc>
          <w:tcPr>
            <w:tcW w:w="1139" w:type="pct"/>
            <w:vAlign w:val="center"/>
          </w:tcPr>
          <w:p w:rsidR="00016737" w:rsidRPr="009C00A1" w:rsidRDefault="00016737" w:rsidP="009C00A1">
            <w:pPr>
              <w:keepNext/>
              <w:keepLines/>
              <w:spacing w:before="40" w:after="40" w:line="240" w:lineRule="auto"/>
              <w:jc w:val="left"/>
              <w:rPr>
                <w:sz w:val="16"/>
                <w:szCs w:val="16"/>
              </w:rPr>
            </w:pPr>
            <w:r w:rsidRPr="009C00A1">
              <w:rPr>
                <w:sz w:val="16"/>
                <w:szCs w:val="16"/>
              </w:rPr>
              <w:t>No data available on trends in sales of more efficient systems and this measure is no longer actively promoted by utilities. New generation of heat pump water heaters suggests no update may be needed for NTGR.</w:t>
            </w:r>
          </w:p>
        </w:tc>
      </w:tr>
    </w:tbl>
    <w:p w:rsidR="00016737" w:rsidRPr="00016737" w:rsidRDefault="00016737" w:rsidP="00016737">
      <w:pPr>
        <w:spacing w:after="200" w:line="276" w:lineRule="auto"/>
        <w:rPr>
          <w:rFonts w:eastAsiaTheme="minorHAnsi"/>
          <w:sz w:val="18"/>
          <w:szCs w:val="18"/>
        </w:rPr>
      </w:pPr>
    </w:p>
    <w:sectPr w:rsidR="00016737" w:rsidRPr="00016737" w:rsidSect="001B4D35">
      <w:headerReference w:type="first" r:id="rId8"/>
      <w:footerReference w:type="first" r:id="rId9"/>
      <w:pgSz w:w="15840" w:h="12240" w:orient="landscape" w:code="1"/>
      <w:pgMar w:top="1440" w:right="1440" w:bottom="1440" w:left="1440" w:header="720" w:footer="720" w:gutter="0"/>
      <w:pgNumType w:chapStyle="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6A6" w:rsidRDefault="00F506A6" w:rsidP="00CB6D68">
      <w:pPr>
        <w:spacing w:after="0" w:line="240" w:lineRule="auto"/>
      </w:pPr>
      <w:r>
        <w:separator/>
      </w:r>
    </w:p>
  </w:endnote>
  <w:endnote w:type="continuationSeparator" w:id="0">
    <w:p w:rsidR="00F506A6" w:rsidRDefault="00F506A6" w:rsidP="00CB6D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6A6" w:rsidRPr="001B4D35" w:rsidRDefault="00F506A6" w:rsidP="00F506A6">
    <w:pPr>
      <w:pStyle w:val="Footer"/>
      <w:tabs>
        <w:tab w:val="clear" w:pos="4680"/>
        <w:tab w:val="clear" w:pos="9360"/>
        <w:tab w:val="decimal" w:pos="6480"/>
        <w:tab w:val="right" w:pos="12960"/>
      </w:tabs>
      <w:spacing w:line="240" w:lineRule="auto"/>
      <w:rPr>
        <w:iCs w:val="0"/>
        <w:sz w:val="22"/>
        <w:szCs w:val="22"/>
      </w:rPr>
    </w:pPr>
    <w:r w:rsidRPr="002F5210">
      <w:rPr>
        <w:iCs w:val="0"/>
        <w:sz w:val="22"/>
        <w:szCs w:val="22"/>
      </w:rPr>
      <w:t>Itron, Inc.</w:t>
    </w:r>
    <w:r>
      <w:rPr>
        <w:iCs w:val="0"/>
        <w:sz w:val="22"/>
        <w:szCs w:val="22"/>
      </w:rPr>
      <w:tab/>
    </w:r>
    <w:r w:rsidR="003F7DEF">
      <w:rPr>
        <w:iCs w:val="0"/>
        <w:sz w:val="22"/>
        <w:szCs w:val="22"/>
      </w:rPr>
      <w:t>A-6-</w:t>
    </w:r>
    <w:r w:rsidR="00CB213F" w:rsidRPr="00CD7ECA">
      <w:rPr>
        <w:iCs w:val="0"/>
        <w:sz w:val="22"/>
        <w:szCs w:val="22"/>
      </w:rPr>
      <w:fldChar w:fldCharType="begin"/>
    </w:r>
    <w:r w:rsidRPr="00CD7ECA">
      <w:rPr>
        <w:iCs w:val="0"/>
        <w:sz w:val="22"/>
        <w:szCs w:val="22"/>
      </w:rPr>
      <w:instrText xml:space="preserve"> PAGE   \* MERGEFORMAT </w:instrText>
    </w:r>
    <w:r w:rsidR="00CB213F" w:rsidRPr="00CD7ECA">
      <w:rPr>
        <w:iCs w:val="0"/>
        <w:sz w:val="22"/>
        <w:szCs w:val="22"/>
      </w:rPr>
      <w:fldChar w:fldCharType="separate"/>
    </w:r>
    <w:r w:rsidR="003F7DEF">
      <w:rPr>
        <w:iCs w:val="0"/>
        <w:noProof/>
        <w:sz w:val="22"/>
        <w:szCs w:val="22"/>
      </w:rPr>
      <w:t>1</w:t>
    </w:r>
    <w:r w:rsidR="00CB213F" w:rsidRPr="00CD7ECA">
      <w:rPr>
        <w:iCs w:val="0"/>
        <w:sz w:val="22"/>
        <w:szCs w:val="22"/>
      </w:rPr>
      <w:fldChar w:fldCharType="end"/>
    </w:r>
    <w:r>
      <w:rPr>
        <w:iCs w:val="0"/>
        <w:sz w:val="22"/>
        <w:szCs w:val="22"/>
      </w:rPr>
      <w:tab/>
    </w:r>
    <w:r w:rsidR="003F7DEF">
      <w:rPr>
        <w:iCs w:val="0"/>
        <w:sz w:val="22"/>
        <w:szCs w:val="22"/>
      </w:rPr>
      <w:fldChar w:fldCharType="begin"/>
    </w:r>
    <w:r w:rsidR="003F7DEF">
      <w:rPr>
        <w:iCs w:val="0"/>
        <w:sz w:val="22"/>
        <w:szCs w:val="22"/>
      </w:rPr>
      <w:instrText xml:space="preserve"> REF _Ref307582369 \h </w:instrText>
    </w:r>
    <w:r w:rsidR="003F7DEF">
      <w:rPr>
        <w:iCs w:val="0"/>
        <w:sz w:val="22"/>
        <w:szCs w:val="22"/>
      </w:rPr>
    </w:r>
    <w:r w:rsidR="003F7DEF">
      <w:rPr>
        <w:iCs w:val="0"/>
        <w:sz w:val="22"/>
        <w:szCs w:val="22"/>
      </w:rPr>
      <w:fldChar w:fldCharType="separate"/>
    </w:r>
    <w:r w:rsidR="003F7DEF">
      <w:rPr>
        <w:rFonts w:eastAsiaTheme="minorHAnsi"/>
      </w:rPr>
      <w:t>Appendix A-6</w:t>
    </w:r>
    <w:r w:rsidR="003F7DEF">
      <w:rPr>
        <w:iCs w:val="0"/>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6A6" w:rsidRDefault="00F506A6" w:rsidP="00CB6D68">
      <w:pPr>
        <w:spacing w:after="0" w:line="240" w:lineRule="auto"/>
      </w:pPr>
      <w:r>
        <w:separator/>
      </w:r>
    </w:p>
  </w:footnote>
  <w:footnote w:type="continuationSeparator" w:id="0">
    <w:p w:rsidR="00F506A6" w:rsidRDefault="00F506A6" w:rsidP="00CB6D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6A6" w:rsidRPr="00416631" w:rsidRDefault="00F506A6" w:rsidP="003F7DEF">
    <w:pPr>
      <w:pStyle w:val="Header"/>
      <w:spacing w:after="240" w:line="360" w:lineRule="auto"/>
    </w:pPr>
    <w:r w:rsidRPr="001B4D35">
      <w:t>Database for Energy Efficiency Resources: 2011 Update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0747692"/>
    <w:lvl w:ilvl="0">
      <w:start w:val="1"/>
      <w:numFmt w:val="bullet"/>
      <w:pStyle w:val="ListBullet2"/>
      <w:lvlText w:val="─"/>
      <w:lvlJc w:val="left"/>
      <w:pPr>
        <w:ind w:left="1800" w:hanging="360"/>
      </w:pPr>
      <w:rPr>
        <w:rFonts w:ascii="Times New Roman" w:hAnsi="Times New Roman" w:cs="Times New Roman" w:hint="default"/>
        <w:sz w:val="24"/>
      </w:rPr>
    </w:lvl>
  </w:abstractNum>
  <w:abstractNum w:abstractNumId="1">
    <w:nsid w:val="FFFFFFFB"/>
    <w:multiLevelType w:val="multilevel"/>
    <w:tmpl w:val="F5E86536"/>
    <w:lvl w:ilvl="0">
      <w:start w:val="3"/>
      <w:numFmt w:val="decimal"/>
      <w:pStyle w:val="Heading1"/>
      <w:suff w:val="nothing"/>
      <w:lvlText w:val="%1"/>
      <w:lvlJc w:val="left"/>
      <w:pPr>
        <w:ind w:left="0" w:firstLine="0"/>
      </w:pPr>
      <w:rPr>
        <w:rFonts w:ascii="Arial" w:hAnsi="Arial" w:hint="default"/>
        <w:b/>
        <w:i/>
        <w:sz w:val="72"/>
      </w:rPr>
    </w:lvl>
    <w:lvl w:ilvl="1">
      <w:start w:val="1"/>
      <w:numFmt w:val="decimal"/>
      <w:pStyle w:val="Heading2"/>
      <w:suff w:val="nothing"/>
      <w:lvlText w:val="%1.%2  "/>
      <w:lvlJc w:val="left"/>
      <w:pPr>
        <w:ind w:left="0" w:firstLine="0"/>
      </w:pPr>
      <w:rPr>
        <w:rFonts w:ascii="Arial" w:hAnsi="Arial" w:hint="default"/>
        <w:b/>
        <w:i w:val="0"/>
        <w:sz w:val="28"/>
      </w:rPr>
    </w:lvl>
    <w:lvl w:ilvl="2">
      <w:start w:val="1"/>
      <w:numFmt w:val="decimal"/>
      <w:pStyle w:val="Heading3"/>
      <w:suff w:val="nothing"/>
      <w:lvlText w:val="%1.%2.%3  "/>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
    <w:nsid w:val="080A0EEF"/>
    <w:multiLevelType w:val="multilevel"/>
    <w:tmpl w:val="C8782C1C"/>
    <w:lvl w:ilvl="0">
      <w:start w:val="1"/>
      <w:numFmt w:val="upperLetter"/>
      <w:suff w:val="nothing"/>
      <w:lvlText w:val="Appendix %1"/>
      <w:lvlJc w:val="left"/>
      <w:pPr>
        <w:ind w:left="0" w:firstLine="0"/>
      </w:pPr>
      <w:rPr>
        <w:rFonts w:ascii="Arial" w:hAnsi="Arial" w:hint="default"/>
        <w:b/>
        <w:i/>
        <w:sz w:val="60"/>
      </w:rPr>
    </w:lvl>
    <w:lvl w:ilvl="1">
      <w:start w:val="1"/>
      <w:numFmt w:val="decimal"/>
      <w:suff w:val="nothing"/>
      <w:lvlText w:val="%1.%2  "/>
      <w:lvlJc w:val="left"/>
      <w:pPr>
        <w:ind w:left="0" w:firstLine="0"/>
      </w:pPr>
      <w:rPr>
        <w:rFonts w:ascii="Arial" w:hAnsi="Arial" w:hint="default"/>
        <w:b/>
        <w:i w:val="0"/>
        <w:sz w:val="28"/>
        <w:szCs w:val="28"/>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nsid w:val="2A5707EA"/>
    <w:multiLevelType w:val="multilevel"/>
    <w:tmpl w:val="67F0C0C4"/>
    <w:styleLink w:val="CnAListBullets"/>
    <w:lvl w:ilvl="0">
      <w:start w:val="1"/>
      <w:numFmt w:val="bullet"/>
      <w:lvlText w:val=""/>
      <w:lvlJc w:val="left"/>
      <w:pPr>
        <w:ind w:left="720" w:hanging="432"/>
      </w:pPr>
      <w:rPr>
        <w:rFonts w:ascii="Wingdings" w:hAnsi="Wingdings" w:hint="default"/>
        <w:sz w:val="16"/>
      </w:rPr>
    </w:lvl>
    <w:lvl w:ilvl="1">
      <w:start w:val="1"/>
      <w:numFmt w:val="bullet"/>
      <w:lvlText w:val="─"/>
      <w:lvlJc w:val="left"/>
      <w:pPr>
        <w:ind w:left="1152" w:hanging="432"/>
      </w:pPr>
      <w:rPr>
        <w:rFonts w:ascii="Times New Roman" w:hAnsi="Times New Roman" w:cs="Times New Roman" w:hint="default"/>
        <w:b/>
        <w:sz w:val="24"/>
      </w:rPr>
    </w:lvl>
    <w:lvl w:ilvl="2">
      <w:start w:val="1"/>
      <w:numFmt w:val="bullet"/>
      <w:lvlText w:val="-"/>
      <w:lvlJc w:val="left"/>
      <w:pPr>
        <w:ind w:left="1584" w:hanging="432"/>
      </w:pPr>
      <w:rPr>
        <w:rFonts w:ascii="Times New Roman" w:hAnsi="Times New Roman" w:cs="Times New Roman" w:hint="default"/>
        <w:sz w:val="24"/>
      </w:rPr>
    </w:lvl>
    <w:lvl w:ilvl="3">
      <w:start w:val="1"/>
      <w:numFmt w:val="bullet"/>
      <w:lvlText w:val=""/>
      <w:lvlJc w:val="left"/>
      <w:pPr>
        <w:ind w:left="2016" w:hanging="432"/>
      </w:pPr>
      <w:rPr>
        <w:rFonts w:ascii="Symbol" w:hAnsi="Symbol" w:hint="default"/>
      </w:rPr>
    </w:lvl>
    <w:lvl w:ilvl="4">
      <w:start w:val="1"/>
      <w:numFmt w:val="bullet"/>
      <w:lvlText w:val=""/>
      <w:lvlJc w:val="left"/>
      <w:pPr>
        <w:ind w:left="2448" w:hanging="432"/>
      </w:pPr>
      <w:rPr>
        <w:rFonts w:ascii="Symbol" w:hAnsi="Symbol" w:hint="default"/>
      </w:rPr>
    </w:lvl>
    <w:lvl w:ilvl="5">
      <w:start w:val="1"/>
      <w:numFmt w:val="bullet"/>
      <w:lvlText w:val=""/>
      <w:lvlJc w:val="left"/>
      <w:pPr>
        <w:ind w:left="2880" w:hanging="432"/>
      </w:pPr>
      <w:rPr>
        <w:rFonts w:ascii="Wingdings" w:hAnsi="Wingdings" w:hint="default"/>
      </w:rPr>
    </w:lvl>
    <w:lvl w:ilvl="6">
      <w:start w:val="1"/>
      <w:numFmt w:val="bullet"/>
      <w:lvlText w:val=""/>
      <w:lvlJc w:val="left"/>
      <w:pPr>
        <w:ind w:left="3312" w:hanging="432"/>
      </w:pPr>
      <w:rPr>
        <w:rFonts w:ascii="Wingdings" w:hAnsi="Wingdings" w:hint="default"/>
      </w:rPr>
    </w:lvl>
    <w:lvl w:ilvl="7">
      <w:start w:val="1"/>
      <w:numFmt w:val="bullet"/>
      <w:lvlText w:val=""/>
      <w:lvlJc w:val="left"/>
      <w:pPr>
        <w:ind w:left="3744" w:hanging="432"/>
      </w:pPr>
      <w:rPr>
        <w:rFonts w:ascii="Symbol" w:hAnsi="Symbol" w:hint="default"/>
      </w:rPr>
    </w:lvl>
    <w:lvl w:ilvl="8">
      <w:start w:val="1"/>
      <w:numFmt w:val="bullet"/>
      <w:lvlText w:val=""/>
      <w:lvlJc w:val="left"/>
      <w:pPr>
        <w:ind w:left="4176" w:hanging="432"/>
      </w:pPr>
      <w:rPr>
        <w:rFonts w:ascii="Symbol" w:hAnsi="Symbol" w:hint="default"/>
      </w:rPr>
    </w:lvl>
  </w:abstractNum>
  <w:abstractNum w:abstractNumId="4">
    <w:nsid w:val="35FD6112"/>
    <w:multiLevelType w:val="multilevel"/>
    <w:tmpl w:val="67F0C0C4"/>
    <w:numStyleLink w:val="CnAListBullets"/>
  </w:abstractNum>
  <w:abstractNum w:abstractNumId="5">
    <w:nsid w:val="3D3C5BCA"/>
    <w:multiLevelType w:val="hybridMultilevel"/>
    <w:tmpl w:val="5FD4A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577D3C"/>
    <w:multiLevelType w:val="hybridMultilevel"/>
    <w:tmpl w:val="17464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BC0982"/>
    <w:multiLevelType w:val="multilevel"/>
    <w:tmpl w:val="04090021"/>
    <w:styleLink w:val="Itron"/>
    <w:lvl w:ilvl="0">
      <w:start w:val="1"/>
      <w:numFmt w:val="bullet"/>
      <w:lvlText w:val=""/>
      <w:lvlJc w:val="left"/>
      <w:pPr>
        <w:ind w:left="1080" w:hanging="360"/>
      </w:pPr>
      <w:rPr>
        <w:rFonts w:ascii="Wingdings" w:hAnsi="Wingdings"/>
      </w:rPr>
    </w:lvl>
    <w:lvl w:ilvl="1">
      <w:start w:val="1"/>
      <w:numFmt w:val="bullet"/>
      <w:lvlText w:val="─"/>
      <w:lvlJc w:val="left"/>
      <w:pPr>
        <w:ind w:left="1800" w:hanging="360"/>
      </w:pPr>
      <w:rPr>
        <w:rFonts w:ascii="Times New Roman" w:hAnsi="Times New Roman" w:cs="Times New Roman" w:hint="default"/>
        <w:b/>
        <w:sz w:val="24"/>
      </w:rPr>
    </w:lvl>
    <w:lvl w:ilvl="2">
      <w:start w:val="1"/>
      <w:numFmt w:val="bullet"/>
      <w:lvlText w:val="-"/>
      <w:lvlJc w:val="left"/>
      <w:pPr>
        <w:ind w:left="2520" w:hanging="360"/>
      </w:pPr>
      <w:rPr>
        <w:rFonts w:ascii="Times New Roman" w:hAnsi="Times New Roman" w:cs="Times New Roman" w:hint="default"/>
        <w:sz w:val="24"/>
      </w:rPr>
    </w:lvl>
    <w:lvl w:ilvl="3">
      <w:start w:val="1"/>
      <w:numFmt w:val="bullet"/>
      <w:lvlText w:val=""/>
      <w:lvlJc w:val="left"/>
      <w:pPr>
        <w:ind w:left="3240" w:hanging="360"/>
      </w:pPr>
      <w:rPr>
        <w:rFonts w:ascii="Symbol" w:hAnsi="Symbol" w:hint="default"/>
      </w:rPr>
    </w:lvl>
    <w:lvl w:ilvl="4">
      <w:start w:val="1"/>
      <w:numFmt w:val="bullet"/>
      <w:lvlText w:val=""/>
      <w:lvlJc w:val="left"/>
      <w:pPr>
        <w:ind w:left="3960" w:hanging="360"/>
      </w:pPr>
      <w:rPr>
        <w:rFonts w:ascii="Symbol" w:hAnsi="Symbol"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Wingdings" w:hAnsi="Wingdings"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360"/>
      </w:pPr>
      <w:rPr>
        <w:rFonts w:ascii="Symbol" w:hAnsi="Symbol" w:hint="default"/>
      </w:rPr>
    </w:lvl>
  </w:abstractNum>
  <w:abstractNum w:abstractNumId="8">
    <w:nsid w:val="72796F26"/>
    <w:multiLevelType w:val="multilevel"/>
    <w:tmpl w:val="67F0C0C4"/>
    <w:numStyleLink w:val="CnAListBullets"/>
  </w:abstractNum>
  <w:num w:numId="1">
    <w:abstractNumId w:val="1"/>
  </w:num>
  <w:num w:numId="2">
    <w:abstractNumId w:val="1"/>
  </w:num>
  <w:num w:numId="3">
    <w:abstractNumId w:val="1"/>
  </w:num>
  <w:num w:numId="4">
    <w:abstractNumId w:val="1"/>
  </w:num>
  <w:num w:numId="5">
    <w:abstractNumId w:val="2"/>
  </w:num>
  <w:num w:numId="6">
    <w:abstractNumId w:val="1"/>
  </w:num>
  <w:num w:numId="7">
    <w:abstractNumId w:val="1"/>
  </w:num>
  <w:num w:numId="8">
    <w:abstractNumId w:val="0"/>
  </w:num>
  <w:num w:numId="9">
    <w:abstractNumId w:val="0"/>
  </w:num>
  <w:num w:numId="10">
    <w:abstractNumId w:val="7"/>
  </w:num>
  <w:num w:numId="11">
    <w:abstractNumId w:val="3"/>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3"/>
  </w:num>
  <w:num w:numId="22">
    <w:abstractNumId w:val="3"/>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0"/>
  </w:num>
  <w:num w:numId="36">
    <w:abstractNumId w:val="3"/>
  </w:num>
  <w:num w:numId="37">
    <w:abstractNumId w:val="1"/>
  </w:num>
  <w:num w:numId="38">
    <w:abstractNumId w:val="1"/>
  </w:num>
  <w:num w:numId="39">
    <w:abstractNumId w:val="1"/>
  </w:num>
  <w:num w:numId="40">
    <w:abstractNumId w:val="1"/>
  </w:num>
  <w:num w:numId="41">
    <w:abstractNumId w:val="1"/>
  </w:num>
  <w:num w:numId="42">
    <w:abstractNumId w:val="1"/>
  </w:num>
  <w:num w:numId="43">
    <w:abstractNumId w:val="5"/>
  </w:num>
  <w:num w:numId="44">
    <w:abstractNumId w:val="6"/>
  </w:num>
  <w:num w:numId="45">
    <w:abstractNumId w:val="8"/>
  </w:num>
  <w:num w:numId="46">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stylePaneSortMethod w:val="0004"/>
  <w:defaultTabStop w:val="720"/>
  <w:doNotHyphenateCaps/>
  <w:drawingGridHorizontalSpacing w:val="120"/>
  <w:drawingGridVerticalSpacing w:val="163"/>
  <w:displayHorizontalDrawingGridEvery w:val="0"/>
  <w:displayVerticalDrawingGridEvery w:val="2"/>
  <w:doNotShadeFormData/>
  <w:noPunctuationKerning/>
  <w:characterSpacingControl w:val="doNotCompress"/>
  <w:hdrShapeDefaults>
    <o:shapedefaults v:ext="edit" spidmax="6145"/>
  </w:hdrShapeDefaults>
  <w:footnotePr>
    <w:footnote w:id="-1"/>
    <w:footnote w:id="0"/>
  </w:footnotePr>
  <w:endnotePr>
    <w:endnote w:id="-1"/>
    <w:endnote w:id="0"/>
  </w:endnotePr>
  <w:compat/>
  <w:rsids>
    <w:rsidRoot w:val="00CB6D68"/>
    <w:rsid w:val="00016737"/>
    <w:rsid w:val="00017D18"/>
    <w:rsid w:val="00022F17"/>
    <w:rsid w:val="0007312F"/>
    <w:rsid w:val="00075645"/>
    <w:rsid w:val="00077287"/>
    <w:rsid w:val="00096103"/>
    <w:rsid w:val="000B2BEB"/>
    <w:rsid w:val="000B731D"/>
    <w:rsid w:val="000C6631"/>
    <w:rsid w:val="000D688E"/>
    <w:rsid w:val="000E539F"/>
    <w:rsid w:val="0011319A"/>
    <w:rsid w:val="00143F57"/>
    <w:rsid w:val="00150886"/>
    <w:rsid w:val="001524F0"/>
    <w:rsid w:val="00157EA9"/>
    <w:rsid w:val="00166A00"/>
    <w:rsid w:val="001700C4"/>
    <w:rsid w:val="001712B1"/>
    <w:rsid w:val="001B177F"/>
    <w:rsid w:val="001B4D35"/>
    <w:rsid w:val="001C005E"/>
    <w:rsid w:val="001E0716"/>
    <w:rsid w:val="001E32AE"/>
    <w:rsid w:val="001E53B3"/>
    <w:rsid w:val="001E7BE2"/>
    <w:rsid w:val="00205160"/>
    <w:rsid w:val="00213A09"/>
    <w:rsid w:val="00230BF7"/>
    <w:rsid w:val="00231EB1"/>
    <w:rsid w:val="002414BE"/>
    <w:rsid w:val="00246847"/>
    <w:rsid w:val="00247593"/>
    <w:rsid w:val="00251432"/>
    <w:rsid w:val="00254669"/>
    <w:rsid w:val="00260180"/>
    <w:rsid w:val="002663FA"/>
    <w:rsid w:val="00275841"/>
    <w:rsid w:val="00292F27"/>
    <w:rsid w:val="002B7BCD"/>
    <w:rsid w:val="002C7AFB"/>
    <w:rsid w:val="002F5210"/>
    <w:rsid w:val="00315C37"/>
    <w:rsid w:val="00317ED5"/>
    <w:rsid w:val="003240BC"/>
    <w:rsid w:val="003255E0"/>
    <w:rsid w:val="00346291"/>
    <w:rsid w:val="003A3041"/>
    <w:rsid w:val="003B15C1"/>
    <w:rsid w:val="003B2EC3"/>
    <w:rsid w:val="003D6C23"/>
    <w:rsid w:val="003E1694"/>
    <w:rsid w:val="003E6290"/>
    <w:rsid w:val="003F505C"/>
    <w:rsid w:val="003F678D"/>
    <w:rsid w:val="003F7DEF"/>
    <w:rsid w:val="00400DF8"/>
    <w:rsid w:val="00415F0C"/>
    <w:rsid w:val="00416631"/>
    <w:rsid w:val="00423113"/>
    <w:rsid w:val="00427454"/>
    <w:rsid w:val="0043551E"/>
    <w:rsid w:val="004375D3"/>
    <w:rsid w:val="004409B2"/>
    <w:rsid w:val="00455856"/>
    <w:rsid w:val="0046370A"/>
    <w:rsid w:val="00467A6A"/>
    <w:rsid w:val="00470284"/>
    <w:rsid w:val="0047130C"/>
    <w:rsid w:val="004819BB"/>
    <w:rsid w:val="00485477"/>
    <w:rsid w:val="004A1ED5"/>
    <w:rsid w:val="004B0FCC"/>
    <w:rsid w:val="004B46F8"/>
    <w:rsid w:val="004C7495"/>
    <w:rsid w:val="004E0AD6"/>
    <w:rsid w:val="005039D7"/>
    <w:rsid w:val="005158C4"/>
    <w:rsid w:val="00521A5F"/>
    <w:rsid w:val="00521A9C"/>
    <w:rsid w:val="0052449E"/>
    <w:rsid w:val="005528D8"/>
    <w:rsid w:val="00552C8F"/>
    <w:rsid w:val="0055720C"/>
    <w:rsid w:val="00557A79"/>
    <w:rsid w:val="00565425"/>
    <w:rsid w:val="00565D8A"/>
    <w:rsid w:val="00573DEC"/>
    <w:rsid w:val="005759FC"/>
    <w:rsid w:val="00580BAD"/>
    <w:rsid w:val="0059185A"/>
    <w:rsid w:val="0059308D"/>
    <w:rsid w:val="005939CC"/>
    <w:rsid w:val="005D5666"/>
    <w:rsid w:val="005D596C"/>
    <w:rsid w:val="005F3293"/>
    <w:rsid w:val="00603EEC"/>
    <w:rsid w:val="006232E8"/>
    <w:rsid w:val="00657787"/>
    <w:rsid w:val="00682A57"/>
    <w:rsid w:val="006B7229"/>
    <w:rsid w:val="006C0097"/>
    <w:rsid w:val="006C080F"/>
    <w:rsid w:val="006E3206"/>
    <w:rsid w:val="006F4FB8"/>
    <w:rsid w:val="00706638"/>
    <w:rsid w:val="007113FC"/>
    <w:rsid w:val="007141BD"/>
    <w:rsid w:val="00715736"/>
    <w:rsid w:val="007316AA"/>
    <w:rsid w:val="00742553"/>
    <w:rsid w:val="00754D3E"/>
    <w:rsid w:val="00763661"/>
    <w:rsid w:val="00775E7E"/>
    <w:rsid w:val="00777A7C"/>
    <w:rsid w:val="0078037F"/>
    <w:rsid w:val="00783EDA"/>
    <w:rsid w:val="00790A7E"/>
    <w:rsid w:val="00797DD8"/>
    <w:rsid w:val="007A55ED"/>
    <w:rsid w:val="007B1B87"/>
    <w:rsid w:val="007B4132"/>
    <w:rsid w:val="007C6F54"/>
    <w:rsid w:val="007D5D84"/>
    <w:rsid w:val="007D6C1A"/>
    <w:rsid w:val="0081057C"/>
    <w:rsid w:val="008111FE"/>
    <w:rsid w:val="00811304"/>
    <w:rsid w:val="00817DEE"/>
    <w:rsid w:val="0082240A"/>
    <w:rsid w:val="00826D05"/>
    <w:rsid w:val="008472D8"/>
    <w:rsid w:val="0085110E"/>
    <w:rsid w:val="00857BBF"/>
    <w:rsid w:val="008646A2"/>
    <w:rsid w:val="00874650"/>
    <w:rsid w:val="00874B38"/>
    <w:rsid w:val="00875025"/>
    <w:rsid w:val="00877628"/>
    <w:rsid w:val="008873D0"/>
    <w:rsid w:val="0089278A"/>
    <w:rsid w:val="0089429D"/>
    <w:rsid w:val="008A271C"/>
    <w:rsid w:val="008C3DA3"/>
    <w:rsid w:val="008D7823"/>
    <w:rsid w:val="008E2E63"/>
    <w:rsid w:val="008E45F8"/>
    <w:rsid w:val="008F6F18"/>
    <w:rsid w:val="0091065E"/>
    <w:rsid w:val="0095435D"/>
    <w:rsid w:val="009558AE"/>
    <w:rsid w:val="00990F68"/>
    <w:rsid w:val="009A619C"/>
    <w:rsid w:val="009B0D60"/>
    <w:rsid w:val="009C00A1"/>
    <w:rsid w:val="009C3564"/>
    <w:rsid w:val="009D0319"/>
    <w:rsid w:val="009D290C"/>
    <w:rsid w:val="00A12B0C"/>
    <w:rsid w:val="00A12C80"/>
    <w:rsid w:val="00A240A6"/>
    <w:rsid w:val="00A31B8F"/>
    <w:rsid w:val="00A37C2D"/>
    <w:rsid w:val="00A50622"/>
    <w:rsid w:val="00A715DD"/>
    <w:rsid w:val="00AA75FC"/>
    <w:rsid w:val="00AE00AD"/>
    <w:rsid w:val="00AF77F2"/>
    <w:rsid w:val="00B05AD1"/>
    <w:rsid w:val="00B21A11"/>
    <w:rsid w:val="00B30FAF"/>
    <w:rsid w:val="00B332C5"/>
    <w:rsid w:val="00B35DD3"/>
    <w:rsid w:val="00B47148"/>
    <w:rsid w:val="00B66B8D"/>
    <w:rsid w:val="00B75838"/>
    <w:rsid w:val="00B821A0"/>
    <w:rsid w:val="00BA106C"/>
    <w:rsid w:val="00BA60B5"/>
    <w:rsid w:val="00BE68D1"/>
    <w:rsid w:val="00BF6708"/>
    <w:rsid w:val="00C030F3"/>
    <w:rsid w:val="00C07173"/>
    <w:rsid w:val="00C1504F"/>
    <w:rsid w:val="00C17B21"/>
    <w:rsid w:val="00C40245"/>
    <w:rsid w:val="00C47AFD"/>
    <w:rsid w:val="00C8408E"/>
    <w:rsid w:val="00C85E22"/>
    <w:rsid w:val="00C87E1B"/>
    <w:rsid w:val="00C90C1B"/>
    <w:rsid w:val="00C96282"/>
    <w:rsid w:val="00CA4418"/>
    <w:rsid w:val="00CA4CA6"/>
    <w:rsid w:val="00CA62B1"/>
    <w:rsid w:val="00CA75C7"/>
    <w:rsid w:val="00CB213F"/>
    <w:rsid w:val="00CB3F1F"/>
    <w:rsid w:val="00CB5D3E"/>
    <w:rsid w:val="00CB6D68"/>
    <w:rsid w:val="00CC1E01"/>
    <w:rsid w:val="00CD4193"/>
    <w:rsid w:val="00CD7ECA"/>
    <w:rsid w:val="00CE1BE2"/>
    <w:rsid w:val="00CE6C8D"/>
    <w:rsid w:val="00CF4860"/>
    <w:rsid w:val="00D1468C"/>
    <w:rsid w:val="00D21F89"/>
    <w:rsid w:val="00D51169"/>
    <w:rsid w:val="00D5135F"/>
    <w:rsid w:val="00D72BF2"/>
    <w:rsid w:val="00D833E2"/>
    <w:rsid w:val="00D842FF"/>
    <w:rsid w:val="00D97BDF"/>
    <w:rsid w:val="00DA04B7"/>
    <w:rsid w:val="00DB3C51"/>
    <w:rsid w:val="00DC1564"/>
    <w:rsid w:val="00DC1DD9"/>
    <w:rsid w:val="00DE632E"/>
    <w:rsid w:val="00E251FF"/>
    <w:rsid w:val="00E332A9"/>
    <w:rsid w:val="00E37D92"/>
    <w:rsid w:val="00E450CF"/>
    <w:rsid w:val="00E560B6"/>
    <w:rsid w:val="00E67904"/>
    <w:rsid w:val="00E86B02"/>
    <w:rsid w:val="00E86B64"/>
    <w:rsid w:val="00E939AD"/>
    <w:rsid w:val="00ED1F77"/>
    <w:rsid w:val="00ED70B2"/>
    <w:rsid w:val="00F126C3"/>
    <w:rsid w:val="00F20408"/>
    <w:rsid w:val="00F21DB5"/>
    <w:rsid w:val="00F30170"/>
    <w:rsid w:val="00F3759B"/>
    <w:rsid w:val="00F42A2D"/>
    <w:rsid w:val="00F506A6"/>
    <w:rsid w:val="00F60F5F"/>
    <w:rsid w:val="00F634D6"/>
    <w:rsid w:val="00F70106"/>
    <w:rsid w:val="00F87DBB"/>
    <w:rsid w:val="00F9623A"/>
    <w:rsid w:val="00FF5474"/>
    <w:rsid w:val="00FF66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Times New Roman"/>
        <w:lang w:val="en-US" w:eastAsia="en-US" w:bidi="ar-SA"/>
      </w:rPr>
    </w:rPrDefault>
    <w:pPrDefault>
      <w:pPr>
        <w:spacing w:after="130" w:line="320" w:lineRule="atLeast"/>
        <w:ind w:left="720" w:hanging="432"/>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uiPriority="10"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39D7"/>
    <w:pPr>
      <w:spacing w:after="280"/>
      <w:ind w:left="0" w:firstLine="0"/>
    </w:pPr>
    <w:rPr>
      <w:rFonts w:ascii="Times New Roman" w:hAnsi="Times New Roman"/>
      <w:sz w:val="24"/>
      <w:szCs w:val="24"/>
    </w:rPr>
  </w:style>
  <w:style w:type="paragraph" w:styleId="Heading1">
    <w:name w:val="heading 1"/>
    <w:basedOn w:val="Normal"/>
    <w:next w:val="Normal"/>
    <w:qFormat/>
    <w:rsid w:val="005039D7"/>
    <w:pPr>
      <w:keepNext/>
      <w:numPr>
        <w:numId w:val="1"/>
      </w:numPr>
      <w:pBdr>
        <w:bottom w:val="single" w:sz="12" w:space="26" w:color="auto"/>
      </w:pBdr>
      <w:spacing w:after="240"/>
      <w:jc w:val="left"/>
      <w:outlineLvl w:val="0"/>
    </w:pPr>
    <w:rPr>
      <w:rFonts w:ascii="Arial" w:hAnsi="Arial" w:cs="Arial"/>
      <w:b/>
      <w:bCs/>
      <w:sz w:val="36"/>
      <w:szCs w:val="36"/>
    </w:rPr>
  </w:style>
  <w:style w:type="paragraph" w:styleId="Heading2">
    <w:name w:val="heading 2"/>
    <w:basedOn w:val="Normal"/>
    <w:next w:val="Normal"/>
    <w:qFormat/>
    <w:rsid w:val="005039D7"/>
    <w:pPr>
      <w:keepNext/>
      <w:numPr>
        <w:ilvl w:val="1"/>
        <w:numId w:val="1"/>
      </w:numPr>
      <w:spacing w:before="480" w:after="180"/>
      <w:jc w:val="left"/>
      <w:outlineLvl w:val="1"/>
    </w:pPr>
    <w:rPr>
      <w:rFonts w:ascii="Arial" w:hAnsi="Arial" w:cs="Arial"/>
      <w:b/>
      <w:bCs/>
      <w:sz w:val="28"/>
      <w:szCs w:val="28"/>
    </w:rPr>
  </w:style>
  <w:style w:type="paragraph" w:styleId="Heading3">
    <w:name w:val="heading 3"/>
    <w:basedOn w:val="Normal"/>
    <w:next w:val="Normal"/>
    <w:autoRedefine/>
    <w:qFormat/>
    <w:rsid w:val="005039D7"/>
    <w:pPr>
      <w:keepNext/>
      <w:numPr>
        <w:ilvl w:val="2"/>
        <w:numId w:val="1"/>
      </w:numPr>
      <w:spacing w:after="180" w:line="240" w:lineRule="auto"/>
      <w:jc w:val="left"/>
      <w:outlineLvl w:val="2"/>
    </w:pPr>
    <w:rPr>
      <w:rFonts w:ascii="Arial" w:hAnsi="Arial" w:cs="Arial"/>
      <w:b/>
      <w:bCs/>
      <w:i/>
      <w:iCs/>
    </w:rPr>
  </w:style>
  <w:style w:type="paragraph" w:styleId="Heading4">
    <w:name w:val="heading 4"/>
    <w:basedOn w:val="Normal"/>
    <w:next w:val="Normal"/>
    <w:qFormat/>
    <w:rsid w:val="005039D7"/>
    <w:pPr>
      <w:keepNext/>
      <w:keepLines/>
      <w:numPr>
        <w:ilvl w:val="3"/>
        <w:numId w:val="1"/>
      </w:numPr>
      <w:spacing w:after="180"/>
      <w:jc w:val="left"/>
      <w:outlineLvl w:val="3"/>
    </w:pPr>
    <w:rPr>
      <w:b/>
      <w:i/>
      <w:iCs/>
      <w:u w:val="single"/>
    </w:rPr>
  </w:style>
  <w:style w:type="paragraph" w:styleId="Heading5">
    <w:name w:val="heading 5"/>
    <w:basedOn w:val="Normal"/>
    <w:next w:val="Normal"/>
    <w:qFormat/>
    <w:rsid w:val="005039D7"/>
    <w:pPr>
      <w:keepNext/>
      <w:keepLines/>
      <w:numPr>
        <w:ilvl w:val="4"/>
        <w:numId w:val="1"/>
      </w:numPr>
      <w:outlineLvl w:val="4"/>
    </w:pPr>
    <w:rPr>
      <w:rFonts w:cs="Arial"/>
      <w:bCs/>
      <w:i/>
      <w:u w:val="single"/>
    </w:rPr>
  </w:style>
  <w:style w:type="paragraph" w:styleId="Heading6">
    <w:name w:val="heading 6"/>
    <w:basedOn w:val="Heading1"/>
    <w:next w:val="Normal"/>
    <w:qFormat/>
    <w:rsid w:val="005039D7"/>
    <w:pPr>
      <w:numPr>
        <w:ilvl w:val="5"/>
      </w:numPr>
      <w:pBdr>
        <w:bottom w:val="none" w:sz="0" w:space="0" w:color="auto"/>
      </w:pBdr>
      <w:tabs>
        <w:tab w:val="left" w:pos="2880"/>
      </w:tabs>
      <w:spacing w:after="120"/>
      <w:outlineLvl w:val="5"/>
    </w:pPr>
    <w:rPr>
      <w:rFonts w:ascii="Times New Roman" w:hAnsi="Times New Roman"/>
      <w:sz w:val="24"/>
      <w:szCs w:val="24"/>
    </w:rPr>
  </w:style>
  <w:style w:type="paragraph" w:styleId="Heading7">
    <w:name w:val="heading 7"/>
    <w:basedOn w:val="Heading1"/>
    <w:next w:val="Normal"/>
    <w:qFormat/>
    <w:rsid w:val="005039D7"/>
    <w:pPr>
      <w:numPr>
        <w:ilvl w:val="6"/>
      </w:numPr>
      <w:tabs>
        <w:tab w:val="left" w:pos="3456"/>
      </w:tabs>
      <w:outlineLvl w:val="6"/>
    </w:pPr>
  </w:style>
  <w:style w:type="paragraph" w:styleId="Heading8">
    <w:name w:val="heading 8"/>
    <w:basedOn w:val="Normal"/>
    <w:next w:val="Normal"/>
    <w:qFormat/>
    <w:rsid w:val="005039D7"/>
    <w:pPr>
      <w:numPr>
        <w:ilvl w:val="7"/>
        <w:numId w:val="1"/>
      </w:numPr>
      <w:outlineLvl w:val="7"/>
    </w:pPr>
    <w:rPr>
      <w:rFonts w:ascii="Tms Rmn" w:hAnsi="Tms Rmn"/>
      <w:i/>
      <w:iCs/>
      <w:sz w:val="20"/>
      <w:szCs w:val="20"/>
    </w:rPr>
  </w:style>
  <w:style w:type="paragraph" w:styleId="Heading9">
    <w:name w:val="heading 9"/>
    <w:basedOn w:val="Normal"/>
    <w:next w:val="Normal"/>
    <w:qFormat/>
    <w:rsid w:val="005039D7"/>
    <w:pPr>
      <w:numPr>
        <w:ilvl w:val="8"/>
        <w:numId w:val="1"/>
      </w:numPr>
      <w:outlineLvl w:val="8"/>
    </w:pPr>
    <w:rPr>
      <w:rFonts w:ascii="Tms Rmn" w:hAnsi="Tms Rm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J">
    <w:name w:val="pJ"/>
    <w:next w:val="Normal"/>
    <w:rsid w:val="005039D7"/>
    <w:rPr>
      <w:rFonts w:ascii="Times New Roman" w:hAnsi="Times New Roman"/>
      <w:sz w:val="24"/>
      <w:szCs w:val="24"/>
    </w:rPr>
  </w:style>
  <w:style w:type="paragraph" w:customStyle="1" w:styleId="pB">
    <w:name w:val="pB"/>
    <w:basedOn w:val="Normal"/>
    <w:rsid w:val="005039D7"/>
    <w:pPr>
      <w:tabs>
        <w:tab w:val="left" w:pos="720"/>
        <w:tab w:val="left" w:pos="1080"/>
      </w:tabs>
      <w:ind w:right="288"/>
    </w:pPr>
  </w:style>
  <w:style w:type="paragraph" w:customStyle="1" w:styleId="pF">
    <w:name w:val="pF"/>
    <w:rsid w:val="005039D7"/>
    <w:rPr>
      <w:rFonts w:ascii="Times New Roman" w:hAnsi="Times New Roman"/>
      <w:sz w:val="24"/>
      <w:szCs w:val="24"/>
    </w:rPr>
  </w:style>
  <w:style w:type="paragraph" w:customStyle="1" w:styleId="pS">
    <w:name w:val="pS"/>
    <w:rsid w:val="005039D7"/>
    <w:pPr>
      <w:tabs>
        <w:tab w:val="left" w:pos="720"/>
        <w:tab w:val="left" w:pos="1080"/>
      </w:tabs>
      <w:ind w:right="288"/>
    </w:pPr>
    <w:rPr>
      <w:rFonts w:ascii="Times New Roman" w:hAnsi="Times New Roman"/>
      <w:sz w:val="24"/>
      <w:szCs w:val="24"/>
    </w:rPr>
  </w:style>
  <w:style w:type="paragraph" w:customStyle="1" w:styleId="pD">
    <w:name w:val="pD"/>
    <w:basedOn w:val="pF"/>
    <w:rsid w:val="005039D7"/>
    <w:pPr>
      <w:tabs>
        <w:tab w:val="left" w:pos="1152"/>
      </w:tabs>
      <w:spacing w:before="60" w:line="280" w:lineRule="atLeast"/>
      <w:ind w:left="1152" w:right="288"/>
    </w:pPr>
  </w:style>
  <w:style w:type="paragraph" w:customStyle="1" w:styleId="pE">
    <w:name w:val="pE"/>
    <w:basedOn w:val="pD"/>
    <w:rsid w:val="005039D7"/>
    <w:pPr>
      <w:tabs>
        <w:tab w:val="clear" w:pos="1152"/>
      </w:tabs>
      <w:spacing w:line="240" w:lineRule="atLeast"/>
      <w:ind w:left="1440" w:hanging="288"/>
    </w:pPr>
  </w:style>
  <w:style w:type="paragraph" w:styleId="Header">
    <w:name w:val="header"/>
    <w:basedOn w:val="pF"/>
    <w:rsid w:val="005039D7"/>
    <w:pPr>
      <w:pBdr>
        <w:bottom w:val="single" w:sz="12" w:space="1" w:color="auto"/>
      </w:pBdr>
      <w:tabs>
        <w:tab w:val="right" w:pos="9000"/>
      </w:tabs>
      <w:spacing w:after="0"/>
      <w:ind w:left="0" w:firstLine="0"/>
      <w:jc w:val="center"/>
    </w:pPr>
    <w:rPr>
      <w:rFonts w:ascii="Tms Rmn" w:hAnsi="Tms Rmn"/>
      <w:i/>
      <w:iCs/>
    </w:rPr>
  </w:style>
  <w:style w:type="paragraph" w:styleId="Footer">
    <w:name w:val="footer"/>
    <w:basedOn w:val="Header"/>
    <w:rsid w:val="005039D7"/>
    <w:pPr>
      <w:pBdr>
        <w:top w:val="single" w:sz="12" w:space="1" w:color="auto"/>
        <w:bottom w:val="none" w:sz="0" w:space="0" w:color="auto"/>
      </w:pBdr>
      <w:tabs>
        <w:tab w:val="clear" w:pos="9000"/>
        <w:tab w:val="center" w:pos="4680"/>
        <w:tab w:val="right" w:pos="9360"/>
      </w:tabs>
      <w:jc w:val="left"/>
    </w:pPr>
  </w:style>
  <w:style w:type="character" w:styleId="FootnoteReference">
    <w:name w:val="footnote reference"/>
    <w:basedOn w:val="DefaultParagraphFont"/>
    <w:rsid w:val="005039D7"/>
    <w:rPr>
      <w:position w:val="6"/>
      <w:sz w:val="16"/>
      <w:szCs w:val="16"/>
    </w:rPr>
  </w:style>
  <w:style w:type="paragraph" w:styleId="FootnoteText">
    <w:name w:val="footnote text"/>
    <w:basedOn w:val="Normal"/>
    <w:link w:val="FootnoteTextChar"/>
    <w:autoRedefine/>
    <w:rsid w:val="005039D7"/>
    <w:pPr>
      <w:tabs>
        <w:tab w:val="left" w:pos="288"/>
      </w:tabs>
      <w:spacing w:after="60" w:line="240" w:lineRule="atLeast"/>
      <w:ind w:left="288" w:hanging="288"/>
    </w:pPr>
    <w:rPr>
      <w:rFonts w:ascii="Tms Rmn" w:hAnsi="Tms Rmn"/>
      <w:sz w:val="20"/>
      <w:szCs w:val="20"/>
    </w:rPr>
  </w:style>
  <w:style w:type="paragraph" w:styleId="Index1">
    <w:name w:val="index 1"/>
    <w:basedOn w:val="Normal"/>
    <w:next w:val="Normal"/>
    <w:rsid w:val="005039D7"/>
    <w:rPr>
      <w:rFonts w:ascii="Tms Rmn" w:hAnsi="Tms Rmn"/>
    </w:rPr>
  </w:style>
  <w:style w:type="paragraph" w:styleId="Index2">
    <w:name w:val="index 2"/>
    <w:basedOn w:val="Normal"/>
    <w:next w:val="Normal"/>
    <w:rsid w:val="005039D7"/>
    <w:pPr>
      <w:ind w:left="360"/>
    </w:pPr>
    <w:rPr>
      <w:rFonts w:ascii="Tms Rmn" w:hAnsi="Tms Rmn"/>
    </w:rPr>
  </w:style>
  <w:style w:type="paragraph" w:styleId="Index3">
    <w:name w:val="index 3"/>
    <w:basedOn w:val="Normal"/>
    <w:next w:val="Normal"/>
    <w:rsid w:val="005039D7"/>
    <w:rPr>
      <w:rFonts w:ascii="Tms Rmn" w:hAnsi="Tms Rmn"/>
    </w:rPr>
  </w:style>
  <w:style w:type="paragraph" w:styleId="Index4">
    <w:name w:val="index 4"/>
    <w:basedOn w:val="Normal"/>
    <w:next w:val="Normal"/>
    <w:rsid w:val="005039D7"/>
    <w:rPr>
      <w:rFonts w:ascii="Tms Rmn" w:hAnsi="Tms Rmn"/>
    </w:rPr>
  </w:style>
  <w:style w:type="paragraph" w:styleId="Index5">
    <w:name w:val="index 5"/>
    <w:basedOn w:val="Normal"/>
    <w:next w:val="Normal"/>
    <w:rsid w:val="005039D7"/>
    <w:pPr>
      <w:ind w:left="1440"/>
    </w:pPr>
    <w:rPr>
      <w:rFonts w:ascii="Tms Rmn" w:hAnsi="Tms Rmn"/>
    </w:rPr>
  </w:style>
  <w:style w:type="paragraph" w:styleId="Index6">
    <w:name w:val="index 6"/>
    <w:basedOn w:val="Normal"/>
    <w:next w:val="Normal"/>
    <w:rsid w:val="005039D7"/>
    <w:pPr>
      <w:ind w:left="1800"/>
    </w:pPr>
    <w:rPr>
      <w:rFonts w:ascii="Tms Rmn" w:hAnsi="Tms Rmn"/>
    </w:rPr>
  </w:style>
  <w:style w:type="paragraph" w:styleId="Index7">
    <w:name w:val="index 7"/>
    <w:basedOn w:val="Normal"/>
    <w:next w:val="Normal"/>
    <w:rsid w:val="005039D7"/>
    <w:pPr>
      <w:ind w:left="2160"/>
    </w:pPr>
    <w:rPr>
      <w:rFonts w:ascii="Tms Rmn" w:hAnsi="Tms Rmn"/>
    </w:rPr>
  </w:style>
  <w:style w:type="paragraph" w:styleId="IndexHeading">
    <w:name w:val="index heading"/>
    <w:basedOn w:val="Normal"/>
    <w:next w:val="Index1"/>
    <w:rsid w:val="005039D7"/>
    <w:rPr>
      <w:rFonts w:ascii="Tms Rmn" w:hAnsi="Tms Rmn"/>
    </w:rPr>
  </w:style>
  <w:style w:type="character" w:styleId="LineNumber">
    <w:name w:val="line number"/>
    <w:basedOn w:val="DefaultParagraphFont"/>
    <w:rsid w:val="005039D7"/>
  </w:style>
  <w:style w:type="paragraph" w:customStyle="1" w:styleId="pA">
    <w:name w:val="pA"/>
    <w:rsid w:val="005039D7"/>
    <w:pPr>
      <w:spacing w:line="130" w:lineRule="exact"/>
    </w:pPr>
    <w:rPr>
      <w:rFonts w:ascii="Times New Roman" w:hAnsi="Times New Roman"/>
      <w:sz w:val="24"/>
      <w:szCs w:val="24"/>
    </w:rPr>
  </w:style>
  <w:style w:type="paragraph" w:customStyle="1" w:styleId="pG">
    <w:name w:val="pG"/>
    <w:basedOn w:val="Normal"/>
    <w:rsid w:val="005039D7"/>
    <w:pPr>
      <w:keepNext/>
      <w:spacing w:after="130"/>
      <w:ind w:left="720" w:hanging="432"/>
    </w:pPr>
    <w:rPr>
      <w:rFonts w:ascii="Arial" w:hAnsi="Arial" w:cs="Arial"/>
      <w:b/>
      <w:bCs/>
    </w:rPr>
  </w:style>
  <w:style w:type="paragraph" w:customStyle="1" w:styleId="pT">
    <w:name w:val="pT"/>
    <w:basedOn w:val="Normal"/>
    <w:rsid w:val="005039D7"/>
    <w:pPr>
      <w:keepNext/>
      <w:spacing w:after="130"/>
      <w:ind w:left="720" w:hanging="432"/>
    </w:pPr>
    <w:rPr>
      <w:rFonts w:ascii="Arial" w:hAnsi="Arial" w:cs="Arial"/>
      <w:b/>
      <w:bCs/>
    </w:rPr>
  </w:style>
  <w:style w:type="paragraph" w:customStyle="1" w:styleId="pX">
    <w:name w:val="pX"/>
    <w:basedOn w:val="pF"/>
    <w:rsid w:val="005039D7"/>
    <w:pPr>
      <w:spacing w:line="240" w:lineRule="atLeast"/>
    </w:pPr>
  </w:style>
  <w:style w:type="paragraph" w:customStyle="1" w:styleId="TitlePage">
    <w:name w:val="Title Page"/>
    <w:basedOn w:val="Normal"/>
    <w:rsid w:val="005039D7"/>
    <w:pPr>
      <w:spacing w:after="130"/>
      <w:ind w:left="1440" w:right="1440" w:hanging="432"/>
      <w:jc w:val="center"/>
    </w:pPr>
    <w:rPr>
      <w:rFonts w:ascii="Arial" w:hAnsi="Arial" w:cs="Arial"/>
      <w:b/>
      <w:bCs/>
      <w:sz w:val="36"/>
      <w:szCs w:val="36"/>
    </w:rPr>
  </w:style>
  <w:style w:type="paragraph" w:styleId="TOC1">
    <w:name w:val="toc 1"/>
    <w:basedOn w:val="pF"/>
    <w:next w:val="Normal"/>
    <w:uiPriority w:val="39"/>
    <w:rsid w:val="005039D7"/>
    <w:pPr>
      <w:tabs>
        <w:tab w:val="right" w:leader="dot" w:pos="9000"/>
      </w:tabs>
      <w:spacing w:before="120" w:line="240" w:lineRule="auto"/>
      <w:ind w:left="0" w:right="360" w:firstLine="0"/>
    </w:pPr>
    <w:rPr>
      <w:rFonts w:ascii="Arial" w:hAnsi="Arial" w:cs="Arial"/>
      <w:b/>
      <w:bCs/>
    </w:rPr>
  </w:style>
  <w:style w:type="paragraph" w:styleId="TOC2">
    <w:name w:val="toc 2"/>
    <w:basedOn w:val="TOC1"/>
    <w:next w:val="Normal"/>
    <w:uiPriority w:val="39"/>
    <w:rsid w:val="005039D7"/>
    <w:pPr>
      <w:spacing w:before="0" w:after="0"/>
      <w:ind w:left="864" w:right="720" w:hanging="432"/>
    </w:pPr>
    <w:rPr>
      <w:b w:val="0"/>
      <w:bCs w:val="0"/>
    </w:rPr>
  </w:style>
  <w:style w:type="paragraph" w:styleId="TOC3">
    <w:name w:val="toc 3"/>
    <w:basedOn w:val="TOC1"/>
    <w:uiPriority w:val="39"/>
    <w:rsid w:val="005039D7"/>
    <w:pPr>
      <w:spacing w:before="0" w:after="0"/>
      <w:ind w:left="1296" w:right="720" w:hanging="432"/>
    </w:pPr>
    <w:rPr>
      <w:b w:val="0"/>
      <w:bCs w:val="0"/>
      <w:i/>
      <w:iCs/>
      <w:sz w:val="20"/>
      <w:szCs w:val="20"/>
    </w:rPr>
  </w:style>
  <w:style w:type="paragraph" w:styleId="TOC4">
    <w:name w:val="toc 4"/>
    <w:basedOn w:val="TOC1"/>
    <w:rsid w:val="005039D7"/>
    <w:pPr>
      <w:spacing w:before="0" w:after="0"/>
    </w:pPr>
    <w:rPr>
      <w:rFonts w:cs="Times New Roman"/>
      <w:b w:val="0"/>
      <w:bCs w:val="0"/>
      <w:sz w:val="20"/>
      <w:szCs w:val="20"/>
    </w:rPr>
  </w:style>
  <w:style w:type="paragraph" w:styleId="TOC5">
    <w:name w:val="toc 5"/>
    <w:basedOn w:val="TOC4"/>
    <w:next w:val="Normal"/>
    <w:rsid w:val="005039D7"/>
  </w:style>
  <w:style w:type="paragraph" w:styleId="EnvelopeAddress">
    <w:name w:val="envelope address"/>
    <w:basedOn w:val="Normal"/>
    <w:rsid w:val="005039D7"/>
    <w:pPr>
      <w:framePr w:w="7920" w:h="1980" w:hRule="exact" w:hSpace="180" w:wrap="auto" w:hAnchor="page" w:xAlign="center" w:yAlign="bottom"/>
      <w:ind w:left="2880"/>
    </w:pPr>
    <w:rPr>
      <w:rFonts w:ascii="Arial Narrow" w:hAnsi="Arial Narrow"/>
      <w:smallCaps/>
    </w:rPr>
  </w:style>
  <w:style w:type="paragraph" w:customStyle="1" w:styleId="Large">
    <w:name w:val="Large"/>
    <w:basedOn w:val="pF"/>
    <w:next w:val="pF"/>
    <w:rsid w:val="005039D7"/>
    <w:pPr>
      <w:keepNext/>
      <w:spacing w:before="480" w:after="360" w:line="720" w:lineRule="exact"/>
    </w:pPr>
    <w:rPr>
      <w:rFonts w:ascii="Arial" w:hAnsi="Arial" w:cs="Arial"/>
      <w:b/>
      <w:bCs/>
      <w:i/>
      <w:iCs/>
      <w:sz w:val="72"/>
      <w:szCs w:val="72"/>
    </w:rPr>
  </w:style>
  <w:style w:type="paragraph" w:styleId="ListBullet">
    <w:name w:val="List Bullet"/>
    <w:basedOn w:val="Normal"/>
    <w:rsid w:val="005039D7"/>
    <w:pPr>
      <w:ind w:left="360"/>
    </w:pPr>
  </w:style>
  <w:style w:type="paragraph" w:customStyle="1" w:styleId="pA2">
    <w:name w:val="pA2"/>
    <w:basedOn w:val="pA"/>
    <w:next w:val="pA"/>
    <w:rsid w:val="005039D7"/>
  </w:style>
  <w:style w:type="paragraph" w:styleId="Caption">
    <w:name w:val="caption"/>
    <w:basedOn w:val="Normal"/>
    <w:next w:val="Normal"/>
    <w:autoRedefine/>
    <w:qFormat/>
    <w:rsid w:val="003F7DEF"/>
    <w:pPr>
      <w:keepNext/>
      <w:keepLines/>
      <w:spacing w:before="120" w:after="120" w:line="240" w:lineRule="auto"/>
      <w:jc w:val="left"/>
    </w:pPr>
    <w:rPr>
      <w:rFonts w:ascii="Arial" w:hAnsi="Arial" w:cs="Arial"/>
      <w:b/>
      <w:bCs/>
    </w:rPr>
  </w:style>
  <w:style w:type="paragraph" w:customStyle="1" w:styleId="resumeparagraph">
    <w:name w:val="resume paragraph"/>
    <w:rsid w:val="005039D7"/>
    <w:pPr>
      <w:spacing w:before="100" w:line="240" w:lineRule="exact"/>
      <w:ind w:hanging="288"/>
    </w:pPr>
    <w:rPr>
      <w:rFonts w:ascii="Times New Roman" w:hAnsi="Times New Roman"/>
      <w:sz w:val="24"/>
      <w:szCs w:val="24"/>
    </w:rPr>
  </w:style>
  <w:style w:type="paragraph" w:customStyle="1" w:styleId="Headline">
    <w:name w:val="Headline"/>
    <w:basedOn w:val="Normal"/>
    <w:rsid w:val="005039D7"/>
    <w:pPr>
      <w:spacing w:line="240" w:lineRule="auto"/>
    </w:pPr>
    <w:rPr>
      <w:b/>
      <w:bCs/>
      <w:sz w:val="36"/>
      <w:szCs w:val="36"/>
    </w:rPr>
  </w:style>
  <w:style w:type="paragraph" w:customStyle="1" w:styleId="projtitle">
    <w:name w:val="projtitle"/>
    <w:basedOn w:val="Normal"/>
    <w:next w:val="For"/>
    <w:rsid w:val="005039D7"/>
    <w:pPr>
      <w:keepNext/>
      <w:keepLines/>
      <w:tabs>
        <w:tab w:val="left" w:pos="720"/>
        <w:tab w:val="left" w:pos="1080"/>
      </w:tabs>
      <w:spacing w:line="280" w:lineRule="exact"/>
      <w:ind w:left="288" w:right="288"/>
    </w:pPr>
    <w:rPr>
      <w:b/>
      <w:bCs/>
      <w:i/>
      <w:iCs/>
    </w:rPr>
  </w:style>
  <w:style w:type="paragraph" w:customStyle="1" w:styleId="summary">
    <w:name w:val="summary"/>
    <w:basedOn w:val="pB"/>
    <w:next w:val="projtitle"/>
    <w:rsid w:val="005039D7"/>
    <w:pPr>
      <w:tabs>
        <w:tab w:val="clear" w:pos="720"/>
        <w:tab w:val="clear" w:pos="1080"/>
        <w:tab w:val="left" w:pos="-1170"/>
      </w:tabs>
      <w:spacing w:after="240"/>
    </w:pPr>
  </w:style>
  <w:style w:type="paragraph" w:customStyle="1" w:styleId="For">
    <w:name w:val="For"/>
    <w:basedOn w:val="Normal"/>
    <w:next w:val="Contact"/>
    <w:rsid w:val="005039D7"/>
    <w:pPr>
      <w:keepNext/>
      <w:keepLines/>
      <w:tabs>
        <w:tab w:val="left" w:pos="720"/>
        <w:tab w:val="left" w:pos="1080"/>
      </w:tabs>
      <w:spacing w:line="280" w:lineRule="exact"/>
      <w:ind w:left="1152" w:right="288"/>
    </w:pPr>
  </w:style>
  <w:style w:type="paragraph" w:customStyle="1" w:styleId="Contact">
    <w:name w:val="Contact"/>
    <w:basedOn w:val="Normal"/>
    <w:next w:val="summary"/>
    <w:rsid w:val="005039D7"/>
    <w:pPr>
      <w:keepNext/>
      <w:keepLines/>
      <w:tabs>
        <w:tab w:val="left" w:pos="720"/>
        <w:tab w:val="left" w:pos="1080"/>
      </w:tabs>
      <w:spacing w:line="280" w:lineRule="exact"/>
      <w:ind w:left="1152" w:right="288"/>
    </w:pPr>
  </w:style>
  <w:style w:type="paragraph" w:customStyle="1" w:styleId="question">
    <w:name w:val="question"/>
    <w:basedOn w:val="pF"/>
    <w:rsid w:val="005039D7"/>
    <w:pPr>
      <w:ind w:hanging="720"/>
    </w:pPr>
  </w:style>
  <w:style w:type="paragraph" w:styleId="TOC6">
    <w:name w:val="toc 6"/>
    <w:basedOn w:val="Normal"/>
    <w:next w:val="Normal"/>
    <w:rsid w:val="005039D7"/>
    <w:pPr>
      <w:tabs>
        <w:tab w:val="right" w:leader="dot" w:pos="9000"/>
      </w:tabs>
      <w:spacing w:line="240" w:lineRule="auto"/>
      <w:ind w:left="1200"/>
    </w:pPr>
  </w:style>
  <w:style w:type="paragraph" w:customStyle="1" w:styleId="Variabledefinition">
    <w:name w:val="Variable definition"/>
    <w:basedOn w:val="pD"/>
    <w:rsid w:val="005039D7"/>
    <w:pPr>
      <w:tabs>
        <w:tab w:val="left" w:pos="720"/>
        <w:tab w:val="left" w:pos="1440"/>
        <w:tab w:val="left" w:pos="2160"/>
      </w:tabs>
      <w:ind w:left="2520" w:hanging="1800"/>
    </w:pPr>
    <w:rPr>
      <w:i/>
      <w:iCs/>
    </w:rPr>
  </w:style>
  <w:style w:type="paragraph" w:customStyle="1" w:styleId="tablefootnote">
    <w:name w:val="table footnote"/>
    <w:basedOn w:val="Normal"/>
    <w:link w:val="tablefootnoteChar"/>
    <w:rsid w:val="005039D7"/>
    <w:pPr>
      <w:keepNext/>
      <w:keepLines/>
      <w:tabs>
        <w:tab w:val="left" w:pos="274"/>
      </w:tabs>
      <w:spacing w:before="60" w:after="0" w:line="240" w:lineRule="auto"/>
      <w:ind w:left="274" w:hanging="274"/>
    </w:pPr>
    <w:rPr>
      <w:sz w:val="20"/>
      <w:szCs w:val="20"/>
    </w:rPr>
  </w:style>
  <w:style w:type="paragraph" w:styleId="TableofFigures">
    <w:name w:val="table of figures"/>
    <w:basedOn w:val="Normal"/>
    <w:next w:val="Normal"/>
    <w:uiPriority w:val="99"/>
    <w:rsid w:val="005039D7"/>
    <w:pPr>
      <w:tabs>
        <w:tab w:val="right" w:leader="dot" w:pos="9000"/>
      </w:tabs>
      <w:spacing w:before="120" w:after="130" w:line="240" w:lineRule="auto"/>
      <w:ind w:left="475" w:right="720" w:hanging="475"/>
    </w:pPr>
    <w:rPr>
      <w:rFonts w:ascii="Arial" w:hAnsi="Arial" w:cs="Arial"/>
    </w:rPr>
  </w:style>
  <w:style w:type="paragraph" w:styleId="BalloonText">
    <w:name w:val="Balloon Text"/>
    <w:basedOn w:val="Normal"/>
    <w:rsid w:val="005039D7"/>
    <w:rPr>
      <w:rFonts w:ascii="Tahoma" w:hAnsi="Tahoma" w:cs="Tahoma"/>
      <w:sz w:val="16"/>
      <w:szCs w:val="16"/>
    </w:rPr>
  </w:style>
  <w:style w:type="character" w:styleId="CommentReference">
    <w:name w:val="annotation reference"/>
    <w:basedOn w:val="DefaultParagraphFont"/>
    <w:rsid w:val="005039D7"/>
    <w:rPr>
      <w:sz w:val="16"/>
    </w:rPr>
  </w:style>
  <w:style w:type="paragraph" w:styleId="CommentText">
    <w:name w:val="annotation text"/>
    <w:basedOn w:val="Normal"/>
    <w:link w:val="CommentTextChar"/>
    <w:rsid w:val="005039D7"/>
    <w:rPr>
      <w:sz w:val="20"/>
      <w:szCs w:val="20"/>
    </w:rPr>
  </w:style>
  <w:style w:type="paragraph" w:styleId="CommentSubject">
    <w:name w:val="annotation subject"/>
    <w:basedOn w:val="CommentText"/>
    <w:next w:val="CommentText"/>
    <w:rsid w:val="005039D7"/>
    <w:rPr>
      <w:b/>
      <w:bCs/>
    </w:rPr>
  </w:style>
  <w:style w:type="paragraph" w:styleId="DocumentMap">
    <w:name w:val="Document Map"/>
    <w:basedOn w:val="Normal"/>
    <w:rsid w:val="005039D7"/>
    <w:pPr>
      <w:shd w:val="clear" w:color="auto" w:fill="000080"/>
    </w:pPr>
    <w:rPr>
      <w:rFonts w:ascii="Tahoma" w:hAnsi="Tahoma" w:cs="Tahoma"/>
    </w:rPr>
  </w:style>
  <w:style w:type="character" w:styleId="PageNumber">
    <w:name w:val="page number"/>
    <w:basedOn w:val="DefaultParagraphFont"/>
    <w:rsid w:val="005039D7"/>
  </w:style>
  <w:style w:type="table" w:styleId="TableGrid">
    <w:name w:val="Table Grid"/>
    <w:basedOn w:val="TableNormal"/>
    <w:rsid w:val="005039D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TitleSub"/>
    <w:link w:val="TitleChar"/>
    <w:uiPriority w:val="10"/>
    <w:qFormat/>
    <w:rsid w:val="005039D7"/>
    <w:pPr>
      <w:spacing w:after="0" w:line="240" w:lineRule="auto"/>
      <w:contextualSpacing/>
      <w:jc w:val="right"/>
    </w:pPr>
    <w:rPr>
      <w:rFonts w:ascii="Arial" w:hAnsi="Arial"/>
      <w:b/>
      <w:color w:val="17365D"/>
      <w:spacing w:val="5"/>
      <w:kern w:val="28"/>
      <w:sz w:val="40"/>
      <w:szCs w:val="52"/>
    </w:rPr>
  </w:style>
  <w:style w:type="character" w:styleId="Hyperlink">
    <w:name w:val="Hyperlink"/>
    <w:basedOn w:val="DefaultParagraphFont"/>
    <w:rsid w:val="005039D7"/>
    <w:rPr>
      <w:color w:val="0000FF"/>
      <w:u w:val="single"/>
    </w:rPr>
  </w:style>
  <w:style w:type="paragraph" w:customStyle="1" w:styleId="CEUSIndent5">
    <w:name w:val="CEUS_Indent5"/>
    <w:basedOn w:val="pE"/>
    <w:rsid w:val="005039D7"/>
    <w:pPr>
      <w:ind w:left="2070" w:hanging="432"/>
    </w:pPr>
    <w:rPr>
      <w:szCs w:val="20"/>
    </w:rPr>
  </w:style>
  <w:style w:type="paragraph" w:styleId="ListBullet2">
    <w:name w:val="List Bullet 2"/>
    <w:basedOn w:val="Normal"/>
    <w:rsid w:val="005039D7"/>
    <w:pPr>
      <w:numPr>
        <w:numId w:val="8"/>
      </w:numPr>
      <w:contextualSpacing/>
    </w:pPr>
  </w:style>
  <w:style w:type="numbering" w:customStyle="1" w:styleId="Itron">
    <w:name w:val="Itron"/>
    <w:uiPriority w:val="99"/>
    <w:rsid w:val="005039D7"/>
    <w:pPr>
      <w:numPr>
        <w:numId w:val="10"/>
      </w:numPr>
    </w:pPr>
  </w:style>
  <w:style w:type="numbering" w:customStyle="1" w:styleId="CnAListBullets">
    <w:name w:val="CnAListBullets"/>
    <w:uiPriority w:val="99"/>
    <w:rsid w:val="005039D7"/>
    <w:pPr>
      <w:numPr>
        <w:numId w:val="11"/>
      </w:numPr>
    </w:pPr>
  </w:style>
  <w:style w:type="paragraph" w:styleId="ListParagraph">
    <w:name w:val="List Paragraph"/>
    <w:basedOn w:val="Normal"/>
    <w:uiPriority w:val="34"/>
    <w:qFormat/>
    <w:rsid w:val="005039D7"/>
    <w:pPr>
      <w:spacing w:after="80"/>
    </w:pPr>
  </w:style>
  <w:style w:type="paragraph" w:customStyle="1" w:styleId="CoverTitle">
    <w:name w:val="CoverTitle"/>
    <w:basedOn w:val="Normal"/>
    <w:link w:val="CoverTitleChar"/>
    <w:qFormat/>
    <w:rsid w:val="005039D7"/>
    <w:pPr>
      <w:spacing w:after="120"/>
      <w:jc w:val="center"/>
    </w:pPr>
    <w:rPr>
      <w:rFonts w:ascii="Arial" w:hAnsi="Arial"/>
      <w:b/>
      <w:sz w:val="40"/>
    </w:rPr>
  </w:style>
  <w:style w:type="character" w:customStyle="1" w:styleId="CoverTitleChar">
    <w:name w:val="CoverTitle Char"/>
    <w:basedOn w:val="DefaultParagraphFont"/>
    <w:link w:val="CoverTitle"/>
    <w:rsid w:val="005039D7"/>
    <w:rPr>
      <w:rFonts w:ascii="Arial" w:hAnsi="Arial"/>
      <w:b/>
      <w:sz w:val="40"/>
      <w:szCs w:val="24"/>
    </w:rPr>
  </w:style>
  <w:style w:type="paragraph" w:customStyle="1" w:styleId="CoverNormal">
    <w:name w:val="CoverNormal"/>
    <w:basedOn w:val="Normal"/>
    <w:link w:val="CoverNormalChar"/>
    <w:qFormat/>
    <w:rsid w:val="005039D7"/>
    <w:pPr>
      <w:contextualSpacing/>
      <w:jc w:val="center"/>
    </w:pPr>
    <w:rPr>
      <w:rFonts w:ascii="Arial" w:hAnsi="Arial"/>
    </w:rPr>
  </w:style>
  <w:style w:type="character" w:customStyle="1" w:styleId="CoverNormalChar">
    <w:name w:val="CoverNormal Char"/>
    <w:basedOn w:val="DefaultParagraphFont"/>
    <w:link w:val="CoverNormal"/>
    <w:rsid w:val="005039D7"/>
    <w:rPr>
      <w:rFonts w:ascii="Arial" w:hAnsi="Arial"/>
      <w:sz w:val="24"/>
      <w:szCs w:val="24"/>
    </w:rPr>
  </w:style>
  <w:style w:type="paragraph" w:customStyle="1" w:styleId="Halfline">
    <w:name w:val="Halfline"/>
    <w:basedOn w:val="Normal"/>
    <w:next w:val="Normal"/>
    <w:link w:val="HalflineChar"/>
    <w:qFormat/>
    <w:rsid w:val="005039D7"/>
    <w:pPr>
      <w:spacing w:after="130" w:line="130" w:lineRule="exact"/>
      <w:jc w:val="left"/>
    </w:pPr>
  </w:style>
  <w:style w:type="character" w:customStyle="1" w:styleId="HalflineChar">
    <w:name w:val="Halfline Char"/>
    <w:basedOn w:val="DefaultParagraphFont"/>
    <w:link w:val="Halfline"/>
    <w:rsid w:val="005039D7"/>
    <w:rPr>
      <w:rFonts w:ascii="Times New Roman" w:hAnsi="Times New Roman"/>
      <w:sz w:val="24"/>
      <w:szCs w:val="24"/>
    </w:rPr>
  </w:style>
  <w:style w:type="paragraph" w:customStyle="1" w:styleId="LetterheadParagraph">
    <w:name w:val="Letterhead Paragraph"/>
    <w:basedOn w:val="Normal"/>
    <w:qFormat/>
    <w:rsid w:val="005039D7"/>
    <w:pPr>
      <w:spacing w:after="0"/>
    </w:pPr>
    <w:rPr>
      <w:rFonts w:ascii="Arial Narrow" w:hAnsi="Arial Narrow"/>
    </w:rPr>
  </w:style>
  <w:style w:type="character" w:customStyle="1" w:styleId="FootnoteTextChar">
    <w:name w:val="Footnote Text Char"/>
    <w:basedOn w:val="DefaultParagraphFont"/>
    <w:link w:val="FootnoteText"/>
    <w:rsid w:val="005039D7"/>
  </w:style>
  <w:style w:type="character" w:customStyle="1" w:styleId="tablefootnoteChar">
    <w:name w:val="table footnote Char"/>
    <w:basedOn w:val="DefaultParagraphFont"/>
    <w:link w:val="tablefootnote"/>
    <w:rsid w:val="005039D7"/>
    <w:rPr>
      <w:rFonts w:ascii="Times New Roman" w:hAnsi="Times New Roman"/>
    </w:rPr>
  </w:style>
  <w:style w:type="paragraph" w:customStyle="1" w:styleId="TitleSub">
    <w:name w:val="TitleSub"/>
    <w:basedOn w:val="Title"/>
    <w:link w:val="TitleSubChar"/>
    <w:autoRedefine/>
    <w:qFormat/>
    <w:rsid w:val="005039D7"/>
    <w:rPr>
      <w:b w:val="0"/>
      <w:sz w:val="32"/>
    </w:rPr>
  </w:style>
  <w:style w:type="character" w:customStyle="1" w:styleId="TitleSubChar">
    <w:name w:val="TitleSub Char"/>
    <w:basedOn w:val="TitleChar"/>
    <w:link w:val="TitleSub"/>
    <w:rsid w:val="005039D7"/>
    <w:rPr>
      <w:sz w:val="32"/>
    </w:rPr>
  </w:style>
  <w:style w:type="character" w:customStyle="1" w:styleId="TitleChar">
    <w:name w:val="Title Char"/>
    <w:basedOn w:val="DefaultParagraphFont"/>
    <w:link w:val="Title"/>
    <w:uiPriority w:val="10"/>
    <w:rsid w:val="005039D7"/>
    <w:rPr>
      <w:rFonts w:ascii="Arial" w:hAnsi="Arial"/>
      <w:b/>
      <w:color w:val="17365D"/>
      <w:spacing w:val="5"/>
      <w:kern w:val="28"/>
      <w:sz w:val="40"/>
      <w:szCs w:val="52"/>
    </w:rPr>
  </w:style>
  <w:style w:type="paragraph" w:customStyle="1" w:styleId="TitleAdd">
    <w:name w:val="TitleAdd"/>
    <w:basedOn w:val="Title"/>
    <w:link w:val="TitleAddChar"/>
    <w:autoRedefine/>
    <w:qFormat/>
    <w:rsid w:val="005039D7"/>
    <w:rPr>
      <w:b w:val="0"/>
      <w:sz w:val="24"/>
      <w:szCs w:val="32"/>
    </w:rPr>
  </w:style>
  <w:style w:type="character" w:customStyle="1" w:styleId="TitleAddChar">
    <w:name w:val="TitleAdd Char"/>
    <w:basedOn w:val="TitleChar"/>
    <w:link w:val="TitleAdd"/>
    <w:rsid w:val="005039D7"/>
    <w:rPr>
      <w:sz w:val="24"/>
      <w:szCs w:val="32"/>
    </w:rPr>
  </w:style>
  <w:style w:type="table" w:customStyle="1" w:styleId="ItronBasic">
    <w:name w:val="ItronBasic"/>
    <w:basedOn w:val="TableNormal"/>
    <w:uiPriority w:val="99"/>
    <w:qFormat/>
    <w:rsid w:val="00CB6D68"/>
    <w:pPr>
      <w:spacing w:after="0" w:line="240" w:lineRule="auto"/>
      <w:ind w:left="0" w:firstLine="0"/>
      <w:jc w:val="left"/>
    </w:p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hemeFill="background1" w:themeFillShade="D9"/>
      </w:tcPr>
    </w:tblStylePr>
  </w:style>
  <w:style w:type="character" w:customStyle="1" w:styleId="CommentTextChar">
    <w:name w:val="Comment Text Char"/>
    <w:basedOn w:val="DefaultParagraphFont"/>
    <w:link w:val="CommentText"/>
    <w:rsid w:val="006F4FB8"/>
    <w:rPr>
      <w:rFonts w:ascii="Times New Roman" w:hAnsi="Times New Roman"/>
    </w:rPr>
  </w:style>
  <w:style w:type="table" w:styleId="TableProfessional">
    <w:name w:val="Table Professional"/>
    <w:basedOn w:val="TableNormal"/>
    <w:rsid w:val="00016737"/>
    <w:pPr>
      <w:spacing w:after="280"/>
      <w:ind w:left="0" w:firstLine="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82240A"/>
    <w:pPr>
      <w:spacing w:after="0" w:line="240" w:lineRule="auto"/>
      <w:ind w:left="0" w:firstLine="0"/>
      <w:jc w:val="left"/>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99CAD-DEAC-41D0-9037-F5589046E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446</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RER, Inc.</Company>
  <LinksUpToDate>false</LinksUpToDate>
  <CharactersWithSpaces>2961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L Harris</dc:creator>
  <cp:lastModifiedBy>S L Harris</cp:lastModifiedBy>
  <cp:revision>5</cp:revision>
  <cp:lastPrinted>2009-01-22T17:29:00Z</cp:lastPrinted>
  <dcterms:created xsi:type="dcterms:W3CDTF">2011-10-28T18:15:00Z</dcterms:created>
  <dcterms:modified xsi:type="dcterms:W3CDTF">2011-10-28T23:32:00Z</dcterms:modified>
</cp:coreProperties>
</file>